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xPzcZg4EAADl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MJ4IINcAAAAFAQAADwAAAAAAAAABACAAAAAiAAAAZHJzL2Rvd25yZXYueG1sUEsBAhQA&#10;FAAAAAgAh07iQMX7rK/KAwAAOQ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LNFeEJwIAAEc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LNFeEJwIAAEc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ascii="思源宋体 CN Light" w:hAnsi="思源宋体 CN Light" w:eastAsia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DeEL82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LUtrL2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ind w:firstLine="420"/>
        <w:jc w:val="distribute"/>
        <w:rPr>
          <w:rFonts w:ascii="宋体" w:hAnsi="宋体" w:eastAsia="思源宋体 CN Light" w:cs="思源宋体 CN Light"/>
          <w:szCs w:val="21"/>
        </w:rPr>
      </w:pPr>
    </w:p>
    <w:p>
      <w:pPr>
        <w:ind w:firstLine="140"/>
        <w:jc w:val="distribute"/>
        <w:rPr>
          <w:rFonts w:ascii="华文新魏" w:hAnsi="思源宋体 CN Light" w:eastAsia="思源宋体 CN Light" w:cs="思源宋体 CN Light"/>
          <w:spacing w:val="-7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黑龙江省疫苗和耗材集中采购网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ascii="思源黑体 CN ExtraLight" w:hAnsi="思源黑体 CN ExtraLight" w:eastAsia="思源黑体 CN ExtraLight" w:cs="思源黑体 CN ExtraLight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中心端医疗机构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</w:p>
    <w:p>
      <w:pPr>
        <w:ind w:firstLine="420"/>
      </w:pPr>
    </w:p>
    <w:p>
      <w:pPr>
        <w:pStyle w:val="2"/>
        <w:ind w:firstLine="420"/>
        <w:jc w:val="right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</w:pPr>
    </w:p>
    <w:p>
      <w:pPr>
        <w:pStyle w:val="2"/>
      </w:pPr>
    </w:p>
    <w:p>
      <w:pPr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</w:pPr>
    </w:p>
    <w:p>
      <w:pPr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t>目录</w:t>
      </w:r>
    </w:p>
    <w:p>
      <w:pPr>
        <w:pStyle w:val="12"/>
        <w:tabs>
          <w:tab w:val="right" w:leader="dot" w:pos="8306"/>
        </w:tabs>
      </w:pPr>
      <w:bookmarkStart w:id="108" w:name="_GoBack"/>
      <w:bookmarkEnd w:id="108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_Toc32680 </w:instrText>
      </w:r>
      <w:r>
        <w:fldChar w:fldCharType="separate"/>
      </w:r>
      <w:r>
        <w:rPr>
          <w:rFonts w:hint="eastAsia" w:ascii="宋体" w:hAnsi="宋体" w:eastAsia="宋体" w:cs="宋体"/>
          <w:bCs/>
          <w:szCs w:val="32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_Toc32680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_Toc11676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1.1、 </w:t>
      </w:r>
      <w:r>
        <w:rPr>
          <w:rFonts w:hint="eastAsia"/>
          <w:lang w:val="en-US" w:eastAsia="zh-CN"/>
        </w:rPr>
        <w:t>登录入口</w:t>
      </w:r>
      <w:r>
        <w:tab/>
      </w:r>
      <w:r>
        <w:fldChar w:fldCharType="begin"/>
      </w:r>
      <w:r>
        <w:instrText xml:space="preserve"> PAGEREF _Toc11676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_Toc4523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1.2、 </w:t>
      </w:r>
      <w:r>
        <w:t>驱动</w:t>
      </w:r>
      <w:r>
        <w:rPr>
          <w:rFonts w:hint="eastAsia"/>
          <w:lang w:val="en-US" w:eastAsia="zh-CN"/>
        </w:rPr>
        <w:t>下载</w:t>
      </w:r>
      <w:r>
        <w:tab/>
      </w:r>
      <w:r>
        <w:fldChar w:fldCharType="begin"/>
      </w:r>
      <w:r>
        <w:instrText xml:space="preserve"> PAGEREF _Toc4523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_Toc16686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1.3、 </w:t>
      </w:r>
      <w:r>
        <w:t>驱动安装说明</w:t>
      </w:r>
      <w:r>
        <w:tab/>
      </w:r>
      <w:r>
        <w:fldChar w:fldCharType="begin"/>
      </w:r>
      <w:r>
        <w:instrText xml:space="preserve"> PAGEREF _Toc16686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_Toc28484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1.3.1、 </w:t>
      </w:r>
      <w:r>
        <w:t>安装驱动程序</w:t>
      </w:r>
      <w:r>
        <w:tab/>
      </w:r>
      <w:r>
        <w:fldChar w:fldCharType="begin"/>
      </w:r>
      <w:r>
        <w:instrText xml:space="preserve"> PAGEREF _Toc28484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_Toc20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1.4、 </w:t>
      </w:r>
      <w:r>
        <w:t>检测工具</w:t>
      </w:r>
      <w:r>
        <w:tab/>
      </w:r>
      <w:r>
        <w:fldChar w:fldCharType="begin"/>
      </w:r>
      <w:r>
        <w:instrText xml:space="preserve"> PAGEREF _Toc20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_Toc18846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1.4.1、 </w:t>
      </w:r>
      <w:r>
        <w:t>启动检测工具</w:t>
      </w:r>
      <w:r>
        <w:tab/>
      </w:r>
      <w:r>
        <w:fldChar w:fldCharType="begin"/>
      </w:r>
      <w:r>
        <w:instrText xml:space="preserve"> PAGEREF _Toc18846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_Toc20864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1.4.2、 </w:t>
      </w:r>
      <w:r>
        <w:t>系统检测</w:t>
      </w:r>
      <w:r>
        <w:tab/>
      </w:r>
      <w:r>
        <w:fldChar w:fldCharType="begin"/>
      </w:r>
      <w:r>
        <w:instrText xml:space="preserve"> PAGEREF _Toc20864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_Toc17168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1.4.3、 </w:t>
      </w:r>
      <w:r>
        <w:t>控件检测</w:t>
      </w:r>
      <w:r>
        <w:tab/>
      </w:r>
      <w:r>
        <w:fldChar w:fldCharType="begin"/>
      </w:r>
      <w:r>
        <w:instrText xml:space="preserve"> PAGEREF _Toc17168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_Toc28332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1.4.4、 </w:t>
      </w:r>
      <w:r>
        <w:t>证书检测</w:t>
      </w:r>
      <w:r>
        <w:tab/>
      </w:r>
      <w:r>
        <w:fldChar w:fldCharType="begin"/>
      </w:r>
      <w:r>
        <w:instrText xml:space="preserve"> PAGEREF _Toc28332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_Toc22303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1.5、 </w:t>
      </w:r>
      <w:r>
        <w:t>浏览器配置</w:t>
      </w:r>
      <w:r>
        <w:tab/>
      </w:r>
      <w:r>
        <w:fldChar w:fldCharType="begin"/>
      </w:r>
      <w:r>
        <w:instrText xml:space="preserve"> PAGEREF _Toc22303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_Toc22367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1.5.1、 </w:t>
      </w:r>
      <w:r>
        <w:t>Internet选项</w:t>
      </w:r>
      <w:r>
        <w:tab/>
      </w:r>
      <w:r>
        <w:fldChar w:fldCharType="begin"/>
      </w:r>
      <w:r>
        <w:instrText xml:space="preserve"> PAGEREF _Toc22367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_Toc30598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1.5.2、 </w:t>
      </w:r>
      <w:r>
        <w:t>关闭拦截工具</w:t>
      </w:r>
      <w:r>
        <w:tab/>
      </w:r>
      <w:r>
        <w:fldChar w:fldCharType="begin"/>
      </w:r>
      <w:r>
        <w:instrText xml:space="preserve"> PAGEREF _Toc30598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_Toc2887 </w:instrText>
      </w:r>
      <w:r>
        <w:fldChar w:fldCharType="separate"/>
      </w:r>
      <w:r>
        <w:rPr>
          <w:rFonts w:hint="eastAsia" w:ascii="宋体" w:hAnsi="宋体" w:eastAsia="宋体" w:cs="宋体"/>
          <w:bCs/>
          <w:kern w:val="2"/>
          <w:szCs w:val="32"/>
          <w:lang w:val="en-US" w:eastAsia="zh-CN" w:bidi="ar-SA"/>
        </w:rPr>
        <w:t xml:space="preserve">二、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采购管理</w:t>
      </w:r>
      <w:r>
        <w:tab/>
      </w:r>
      <w:r>
        <w:fldChar w:fldCharType="begin"/>
      </w:r>
      <w:r>
        <w:instrText xml:space="preserve"> PAGEREF _Toc2887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_Toc11924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2.1、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信息维护</w:t>
      </w:r>
      <w:r>
        <w:tab/>
      </w:r>
      <w:r>
        <w:fldChar w:fldCharType="begin"/>
      </w:r>
      <w:r>
        <w:instrText xml:space="preserve"> PAGEREF _Toc11924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_Toc14187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2.1.1、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发票信息</w:t>
      </w:r>
      <w:r>
        <w:tab/>
      </w:r>
      <w:r>
        <w:fldChar w:fldCharType="begin"/>
      </w:r>
      <w:r>
        <w:instrText xml:space="preserve"> PAGEREF _Toc14187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_Toc22878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2.1.2、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收货地址</w:t>
      </w:r>
      <w:r>
        <w:tab/>
      </w:r>
      <w:r>
        <w:fldChar w:fldCharType="begin"/>
      </w:r>
      <w:r>
        <w:instrText xml:space="preserve"> PAGEREF _Toc22878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_Toc16398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2.2、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医疗机构信息维护</w:t>
      </w:r>
      <w:r>
        <w:tab/>
      </w:r>
      <w:r>
        <w:fldChar w:fldCharType="begin"/>
      </w:r>
      <w:r>
        <w:instrText xml:space="preserve"> PAGEREF _Toc16398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_Toc24725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2.3、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采购过程</w:t>
      </w:r>
      <w:r>
        <w:tab/>
      </w:r>
      <w:r>
        <w:fldChar w:fldCharType="begin"/>
      </w:r>
      <w:r>
        <w:instrText xml:space="preserve"> PAGEREF _Toc24725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_Toc4783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2.3.1、 </w:t>
      </w:r>
      <w:r>
        <w:rPr>
          <w:rFonts w:hint="eastAsia"/>
          <w:lang w:val="en-US" w:eastAsia="zh-CN"/>
        </w:rPr>
        <w:t>采购产品目录</w:t>
      </w:r>
      <w:r>
        <w:tab/>
      </w:r>
      <w:r>
        <w:fldChar w:fldCharType="begin"/>
      </w:r>
      <w:r>
        <w:instrText xml:space="preserve"> PAGEREF _Toc4783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_Toc19714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2.3.2、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遴选产品配送维护</w:t>
      </w:r>
      <w:r>
        <w:tab/>
      </w:r>
      <w:r>
        <w:fldChar w:fldCharType="begin"/>
      </w:r>
      <w:r>
        <w:instrText xml:space="preserve"> PAGEREF _Toc19714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_Toc18705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2.3.3、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遴选产品议价</w:t>
      </w:r>
      <w:r>
        <w:tab/>
      </w:r>
      <w:r>
        <w:fldChar w:fldCharType="begin"/>
      </w:r>
      <w:r>
        <w:instrText xml:space="preserve"> PAGEREF _Toc18705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_Toc15611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2.3.4、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采购订单</w:t>
      </w:r>
      <w:r>
        <w:tab/>
      </w:r>
      <w:r>
        <w:fldChar w:fldCharType="begin"/>
      </w:r>
      <w:r>
        <w:instrText xml:space="preserve"> PAGEREF _Toc15611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_Toc11627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2.3.5、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采购模板管理</w:t>
      </w:r>
      <w:r>
        <w:tab/>
      </w:r>
      <w:r>
        <w:fldChar w:fldCharType="begin"/>
      </w:r>
      <w:r>
        <w:instrText xml:space="preserve"> PAGEREF _Toc11627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_Toc10819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2.4、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发货过程</w:t>
      </w:r>
      <w:r>
        <w:tab/>
      </w:r>
      <w:r>
        <w:fldChar w:fldCharType="begin"/>
      </w:r>
      <w:r>
        <w:instrText xml:space="preserve"> PAGEREF _Toc10819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_Toc28977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/>
        </w:rPr>
        <w:t xml:space="preserve">2.4.1、 </w:t>
      </w:r>
      <w:r>
        <w:rPr>
          <w:rFonts w:hint="eastAsia"/>
          <w:lang w:val="en-US" w:eastAsia="zh-CN"/>
        </w:rPr>
        <w:t>确认入库</w:t>
      </w:r>
      <w:r>
        <w:tab/>
      </w:r>
      <w:r>
        <w:fldChar w:fldCharType="begin"/>
      </w:r>
      <w:r>
        <w:instrText xml:space="preserve"> PAGEREF _Toc28977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_Toc11321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2.5、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退货流程</w:t>
      </w:r>
      <w:r>
        <w:tab/>
      </w:r>
      <w:r>
        <w:fldChar w:fldCharType="begin"/>
      </w:r>
      <w:r>
        <w:instrText xml:space="preserve"> PAGEREF _Toc11321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_Toc13079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2.5.1、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订单退货</w:t>
      </w:r>
      <w:r>
        <w:tab/>
      </w:r>
      <w:r>
        <w:fldChar w:fldCharType="begin"/>
      </w:r>
      <w:r>
        <w:instrText xml:space="preserve"> PAGEREF _Toc13079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_Toc74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2.6、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结算支付管理</w:t>
      </w:r>
      <w:r>
        <w:tab/>
      </w:r>
      <w:r>
        <w:fldChar w:fldCharType="begin"/>
      </w:r>
      <w:r>
        <w:instrText xml:space="preserve"> PAGEREF _Toc74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_Toc5693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2.6.1、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未开票医院</w:t>
      </w:r>
      <w:r>
        <w:tab/>
      </w:r>
      <w:r>
        <w:fldChar w:fldCharType="begin"/>
      </w:r>
      <w:r>
        <w:instrText xml:space="preserve"> PAGEREF _Toc5693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_Toc13040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2.6.2、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发票管理</w:t>
      </w:r>
      <w:r>
        <w:tab/>
      </w:r>
      <w:r>
        <w:fldChar w:fldCharType="begin"/>
      </w:r>
      <w:r>
        <w:instrText xml:space="preserve"> PAGEREF _Toc13040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_Toc31652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2.6.3、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结算管理</w:t>
      </w:r>
      <w:r>
        <w:tab/>
      </w:r>
      <w:r>
        <w:fldChar w:fldCharType="begin"/>
      </w:r>
      <w:r>
        <w:instrText xml:space="preserve"> PAGEREF _Toc31652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3"/>
        <w:numPr>
          <w:ilvl w:val="0"/>
          <w:numId w:val="0"/>
        </w:numPr>
        <w:tabs>
          <w:tab w:val="left" w:pos="425"/>
        </w:tabs>
        <w:ind w:leftChars="200"/>
      </w:pPr>
      <w:r>
        <w:fldChar w:fldCharType="end"/>
      </w:r>
      <w:bookmarkStart w:id="0" w:name="_Toc7810"/>
      <w:bookmarkStart w:id="1" w:name="_Toc18807"/>
      <w:bookmarkStart w:id="2" w:name="_Toc24650"/>
      <w:bookmarkStart w:id="3" w:name="_Toc24824"/>
      <w:bookmarkStart w:id="4" w:name="_Toc475978914"/>
    </w:p>
    <w:p/>
    <w:p>
      <w:pPr>
        <w:pStyle w:val="2"/>
      </w:pPr>
    </w:p>
    <w:p>
      <w:pPr>
        <w:pStyle w:val="3"/>
        <w:tabs>
          <w:tab w:val="left" w:pos="425"/>
        </w:tabs>
        <w:spacing w:before="0" w:after="0" w:line="240" w:lineRule="auto"/>
        <w:ind w:firstLine="0" w:firstLineChars="0"/>
      </w:pPr>
      <w:bookmarkStart w:id="5" w:name="_Toc32680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4"/>
        <w:tabs>
          <w:tab w:val="left" w:pos="567"/>
        </w:tabs>
        <w:spacing w:before="0" w:after="0" w:line="240" w:lineRule="auto"/>
        <w:ind w:firstLine="0" w:firstLineChars="0"/>
      </w:pPr>
      <w:bookmarkStart w:id="6" w:name="_Toc1521"/>
      <w:bookmarkStart w:id="7" w:name="_Toc24884"/>
      <w:bookmarkStart w:id="8" w:name="_Toc11676"/>
      <w:r>
        <w:rPr>
          <w:rFonts w:hint="eastAsia"/>
          <w:lang w:val="en-US" w:eastAsia="zh-CN"/>
        </w:rPr>
        <w:t>登录入口</w:t>
      </w:r>
      <w:bookmarkEnd w:id="6"/>
      <w:bookmarkEnd w:id="7"/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登陆地址：http://www.hljggzyjyw.org.cn/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首页位置如图：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网站首页---疫苗耗材-----中心端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140075"/>
            <wp:effectExtent l="0" t="0" r="12700" b="3175"/>
            <wp:docPr id="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spacing w:before="0" w:after="0" w:line="240" w:lineRule="auto"/>
        <w:ind w:firstLine="0" w:firstLineChars="0"/>
      </w:pPr>
      <w:bookmarkStart w:id="9" w:name="_Toc15546"/>
      <w:bookmarkStart w:id="10" w:name="_Toc463"/>
      <w:bookmarkStart w:id="11" w:name="_Toc4523"/>
      <w:r>
        <w:t>驱动</w:t>
      </w:r>
      <w:r>
        <w:rPr>
          <w:rFonts w:hint="eastAsia"/>
          <w:lang w:val="en-US" w:eastAsia="zh-CN"/>
        </w:rPr>
        <w:t>下载</w:t>
      </w:r>
      <w:bookmarkEnd w:id="9"/>
      <w:bookmarkEnd w:id="10"/>
      <w:bookmarkEnd w:id="11"/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特别提醒：新驱动建议与老系统不在同一台计算机上使用，若设备有限，建议在新系统开通CA登录功能或老系统彻底关闭后再下载安装驱动。</w:t>
      </w:r>
    </w:p>
    <w:p>
      <w:pPr>
        <w:pStyle w:val="2"/>
        <w:rPr>
          <w:rFonts w:hint="default" w:ascii="Times New Roman" w:hAnsi="Times New Roman" w:eastAsia="宋体" w:cs="Times New Roman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32"/>
          <w:szCs w:val="32"/>
          <w:lang w:val="en-US" w:eastAsia="zh-CN" w:bidi="ar-SA"/>
        </w:rPr>
        <w:t>当前系统可以使用账号密码登录，无须下载安装驱动。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下载位置如图：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224405"/>
            <wp:effectExtent l="0" t="0" r="17145" b="444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tabs>
          <w:tab w:val="left" w:pos="567"/>
        </w:tabs>
        <w:spacing w:before="0" w:after="0" w:line="240" w:lineRule="auto"/>
        <w:ind w:firstLine="0" w:firstLineChars="0"/>
      </w:pPr>
      <w:bookmarkStart w:id="12" w:name="_Toc475978915"/>
      <w:bookmarkStart w:id="13" w:name="_Toc18731"/>
      <w:bookmarkStart w:id="14" w:name="_Toc346701610"/>
      <w:bookmarkStart w:id="15" w:name="_Toc14908"/>
      <w:bookmarkStart w:id="16" w:name="_Toc9296"/>
      <w:bookmarkStart w:id="17" w:name="_Toc30211"/>
      <w:bookmarkStart w:id="18" w:name="_Toc346183628"/>
      <w:bookmarkStart w:id="19" w:name="_Toc16686"/>
      <w:r>
        <w:t>驱动安装说明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5"/>
        <w:tabs>
          <w:tab w:val="left" w:pos="567"/>
        </w:tabs>
        <w:spacing w:before="0" w:after="0" w:line="240" w:lineRule="auto"/>
        <w:ind w:firstLine="0" w:firstLineChars="0"/>
      </w:pPr>
      <w:bookmarkStart w:id="20" w:name="_Toc16026"/>
      <w:bookmarkStart w:id="21" w:name="_Toc346183629"/>
      <w:bookmarkStart w:id="22" w:name="_Toc27579"/>
      <w:bookmarkStart w:id="23" w:name="_Toc12013"/>
      <w:bookmarkStart w:id="24" w:name="_Toc475978916"/>
      <w:bookmarkStart w:id="25" w:name="_Toc30779"/>
      <w:bookmarkStart w:id="26" w:name="_Toc346701611"/>
      <w:bookmarkStart w:id="27" w:name="_Toc28484"/>
      <w: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1、双击安装程序</w:t>
      </w:r>
      <w:r>
        <w:drawing>
          <wp:inline distT="0" distB="0" distL="114300" distR="114300">
            <wp:extent cx="922020" cy="1120140"/>
            <wp:effectExtent l="0" t="0" r="1143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，进入安装页面。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4945" cy="3959860"/>
            <wp:effectExtent l="0" t="0" r="190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注：在安装驱动之前，请确保所有浏览器均已关闭。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905" b="2540"/>
            <wp:docPr id="1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如果不点击“自定义安装”，点击“快速安装”按钮，则直接开始安装驱动，安装位置默认。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68595" cy="3569335"/>
            <wp:effectExtent l="0" t="0" r="8255" b="12065"/>
            <wp:docPr id="1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4、驱动安装完成后，打开完成界面。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905" b="2540"/>
            <wp:docPr id="1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5、点击“完成”按钮，驱动安装成功，桌面显示图标</w:t>
      </w:r>
      <w:r>
        <w:drawing>
          <wp:inline distT="0" distB="0" distL="114300" distR="114300">
            <wp:extent cx="876300" cy="1150620"/>
            <wp:effectExtent l="0" t="0" r="0" b="11430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。</w:t>
      </w: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4"/>
        <w:tabs>
          <w:tab w:val="left" w:pos="567"/>
        </w:tabs>
        <w:spacing w:before="0" w:after="0" w:line="240" w:lineRule="auto"/>
        <w:ind w:firstLine="0" w:firstLineChars="0"/>
      </w:pPr>
      <w:bookmarkStart w:id="28" w:name="_Toc32146"/>
      <w:bookmarkStart w:id="29" w:name="_Toc346701615"/>
      <w:bookmarkStart w:id="30" w:name="_Toc19422"/>
      <w:bookmarkStart w:id="31" w:name="_Toc7378"/>
      <w:bookmarkStart w:id="32" w:name="_Toc475978920"/>
      <w:bookmarkStart w:id="33" w:name="_Toc346183633"/>
      <w:bookmarkStart w:id="34" w:name="_Toc8049"/>
      <w:bookmarkStart w:id="35" w:name="_Toc20"/>
      <w:r>
        <w:t>检测工具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36" w:name="_Toc346701616"/>
      <w:bookmarkStart w:id="37" w:name="_Toc475978921"/>
      <w:bookmarkStart w:id="38" w:name="_Toc30193"/>
      <w:bookmarkStart w:id="39" w:name="_Toc15787"/>
      <w:bookmarkStart w:id="40" w:name="_Toc346183634"/>
      <w:bookmarkStart w:id="41" w:name="_Toc8386"/>
      <w:bookmarkStart w:id="42" w:name="_Toc10214"/>
      <w:bookmarkStart w:id="43" w:name="_Toc18846"/>
      <w:r>
        <w:t>启动检测工具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r>
        <w:t>用户可以点击桌面上的新点检测工具图标来启动检测工具。</w:t>
      </w:r>
    </w:p>
    <w:p>
      <w:pPr>
        <w:pStyle w:val="31"/>
        <w:ind w:firstLine="0" w:firstLineChars="0"/>
        <w:jc w:val="center"/>
        <w:rPr>
          <w:b/>
          <w:spacing w:val="4"/>
        </w:rPr>
      </w:pP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44" w:name="_Toc25621"/>
      <w:bookmarkStart w:id="45" w:name="_Toc17277"/>
      <w:bookmarkStart w:id="46" w:name="_Toc17294"/>
      <w:bookmarkStart w:id="47" w:name="_Toc346701617"/>
      <w:bookmarkStart w:id="48" w:name="_Toc15925"/>
      <w:bookmarkStart w:id="49" w:name="_Toc475978922"/>
      <w:bookmarkStart w:id="50" w:name="_Toc346183635"/>
      <w:bookmarkStart w:id="51" w:name="_Toc20864"/>
      <w:r>
        <w:t>系统检测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pStyle w:val="3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0500" cy="3325495"/>
            <wp:effectExtent l="0" t="0" r="6350" b="8255"/>
            <wp:docPr id="1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该页面主要是进行可信任站点的设置。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如果没有设置成功，请点击</w:t>
      </w:r>
      <w:r>
        <w:rPr>
          <w:rFonts w:hint="eastAsia" w:ascii="宋体" w:hAnsi="宋体" w:eastAsia="宋体" w:cs="宋体"/>
          <w:lang w:val="en-US" w:eastAsia="zh-CN"/>
        </w:rPr>
        <w:t>设置</w:t>
      </w:r>
      <w:r>
        <w:rPr>
          <w:rFonts w:hint="eastAsia" w:ascii="宋体" w:hAnsi="宋体" w:eastAsia="宋体" w:cs="宋体"/>
        </w:rPr>
        <w:t>按钮即可。</w:t>
      </w:r>
    </w:p>
    <w:p>
      <w:pPr>
        <w:ind w:firstLine="436"/>
        <w:rPr>
          <w:spacing w:val="4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52" w:name="_Toc475978923"/>
      <w:bookmarkStart w:id="53" w:name="_Toc226"/>
      <w:bookmarkStart w:id="54" w:name="_Toc346183636"/>
      <w:bookmarkStart w:id="55" w:name="_Toc22012"/>
      <w:bookmarkStart w:id="56" w:name="_Toc27462"/>
      <w:bookmarkStart w:id="57" w:name="_Toc11765"/>
      <w:bookmarkStart w:id="58" w:name="_Toc346701618"/>
      <w:bookmarkStart w:id="59" w:name="_Toc17168"/>
      <w:r>
        <w:t>控件检测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0500" cy="3325495"/>
            <wp:effectExtent l="0" t="0" r="6350" b="8255"/>
            <wp:docPr id="1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如果以上都是打勾，系统所需要控件都安装完毕了。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其中证书Key驱动，需要把您的证书Key插好以后才可以检测出来。</w:t>
      </w:r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60" w:name="_Toc4147"/>
      <w:bookmarkStart w:id="61" w:name="_Toc1337"/>
      <w:bookmarkStart w:id="62" w:name="_Toc346183637"/>
      <w:bookmarkStart w:id="63" w:name="_Toc20940"/>
      <w:bookmarkStart w:id="64" w:name="_Toc346701619"/>
      <w:bookmarkStart w:id="65" w:name="_Toc18929"/>
      <w:bookmarkStart w:id="66" w:name="_Toc475978924"/>
      <w:bookmarkStart w:id="67" w:name="_Toc28332"/>
      <w:r>
        <w:t>证书检测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70500" cy="3325495"/>
            <wp:effectExtent l="0" t="0" r="6350" b="8255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用户可以点击“立即检测”按钮，选择证书，点击“确定”按钮，输入口令，可以检测该证书Key是否可以正常使用。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如果“证书检测结果”中</w:t>
      </w:r>
      <w:r>
        <w:rPr>
          <w:rFonts w:hint="eastAsia" w:ascii="宋体" w:hAnsi="宋体" w:eastAsia="宋体" w:cs="宋体"/>
          <w:lang w:val="en-US" w:eastAsia="zh-CN"/>
        </w:rPr>
        <w:t>显示证书状态正常</w:t>
      </w:r>
      <w:r>
        <w:rPr>
          <w:rFonts w:hint="eastAsia" w:ascii="宋体" w:hAnsi="宋体" w:eastAsia="宋体" w:cs="宋体"/>
        </w:rPr>
        <w:t>，则表示您的证书Key是可以正常使用的，如下图：</w:t>
      </w:r>
    </w:p>
    <w:p>
      <w:pPr>
        <w:pStyle w:val="31"/>
        <w:ind w:firstLine="0" w:firstLineChars="0"/>
        <w:jc w:val="center"/>
      </w:pPr>
      <w:r>
        <w:drawing>
          <wp:inline distT="0" distB="0" distL="114300" distR="114300">
            <wp:extent cx="5270500" cy="3325495"/>
            <wp:effectExtent l="0" t="0" r="6350" b="825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spacing w:before="0" w:after="0" w:line="240" w:lineRule="auto"/>
        <w:ind w:firstLine="0" w:firstLineChars="0"/>
      </w:pPr>
      <w:bookmarkStart w:id="68" w:name="_Toc346701621"/>
      <w:bookmarkStart w:id="69" w:name="_Toc346183639"/>
      <w:bookmarkStart w:id="70" w:name="_Toc475978926"/>
      <w:bookmarkStart w:id="71" w:name="_Toc4142"/>
      <w:bookmarkStart w:id="72" w:name="_Toc7244"/>
      <w:bookmarkStart w:id="73" w:name="_Toc13440"/>
      <w:bookmarkStart w:id="74" w:name="_Toc22303"/>
      <w:r>
        <w:t>浏览器配置</w:t>
      </w:r>
      <w:bookmarkEnd w:id="68"/>
      <w:bookmarkEnd w:id="69"/>
      <w:bookmarkEnd w:id="70"/>
      <w:bookmarkEnd w:id="71"/>
      <w:bookmarkEnd w:id="72"/>
      <w:bookmarkEnd w:id="73"/>
      <w:bookmarkEnd w:id="74"/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75" w:name="_Toc346701622"/>
      <w:bookmarkStart w:id="76" w:name="_Toc28350"/>
      <w:bookmarkStart w:id="77" w:name="_Toc30085"/>
      <w:bookmarkStart w:id="78" w:name="_Toc346183640"/>
      <w:bookmarkStart w:id="79" w:name="_Toc2064"/>
      <w:bookmarkStart w:id="80" w:name="_Toc475978927"/>
      <w:bookmarkStart w:id="81" w:name="_Toc22367"/>
      <w:r>
        <w:t>Internet选项</w:t>
      </w:r>
      <w:bookmarkEnd w:id="75"/>
      <w:bookmarkEnd w:id="76"/>
      <w:bookmarkEnd w:id="77"/>
      <w:bookmarkEnd w:id="78"/>
      <w:bookmarkEnd w:id="79"/>
      <w:bookmarkEnd w:id="80"/>
      <w:bookmarkEnd w:id="81"/>
    </w:p>
    <w:p>
      <w:r>
        <w:rPr>
          <w:rFonts w:hint="eastAsia"/>
          <w:b/>
          <w:bCs/>
          <w:color w:val="FF0000"/>
          <w:lang w:val="en-US" w:eastAsia="zh-CN"/>
        </w:rPr>
        <w:t>建议使用IE11浏览器进行操作。</w:t>
      </w:r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1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4533900" cy="5238750"/>
            <wp:effectExtent l="0" t="0" r="0" b="0"/>
            <wp:docPr id="1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</w:t>
      </w:r>
      <w:r>
        <w:rPr>
          <w:rFonts w:hint="eastAsia"/>
        </w:rPr>
        <w:t>http://www.hljggzyjyw.org.cn/</w:t>
      </w:r>
      <w:r>
        <w:t>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1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13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438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9zsQ11gAAAAsBAAAPAAAAAAAAAAEAIAAAACIAAABkcnMvZG93bnJldi54bWxQ&#10;SwECFAAUAAAACACHTuJAScNNVGsCAAAIBQAADgAAAAAAAAABACAAAAAlAQAAZHJzL2Uyb0RvYy54&#10;bWxQSwUGAAAAAAYABgBZAQAAA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82" w:name="_Toc346701623"/>
      <w:bookmarkStart w:id="83" w:name="_Toc346183641"/>
      <w:bookmarkStart w:id="84" w:name="_Toc475978928"/>
      <w:bookmarkStart w:id="85" w:name="_Toc7912"/>
      <w:bookmarkStart w:id="86" w:name="_Toc32692"/>
      <w:bookmarkStart w:id="87" w:name="_Toc21777"/>
      <w:bookmarkStart w:id="88" w:name="_Toc30598"/>
      <w:r>
        <w:t>关闭拦截工具</w:t>
      </w:r>
      <w:bookmarkEnd w:id="82"/>
      <w:bookmarkEnd w:id="83"/>
      <w:bookmarkEnd w:id="84"/>
      <w:bookmarkEnd w:id="85"/>
      <w:bookmarkEnd w:id="86"/>
      <w:bookmarkEnd w:id="87"/>
      <w:bookmarkEnd w:id="88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31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 w:firstLineChars="200"/>
        <w:jc w:val="center"/>
      </w:pP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</w:p>
    <w:p>
      <w:pPr>
        <w:pStyle w:val="3"/>
        <w:numPr>
          <w:ilvl w:val="0"/>
          <w:numId w:val="0"/>
        </w:numPr>
        <w:spacing w:before="120" w:after="120" w:line="360" w:lineRule="auto"/>
        <w:ind w:leftChars="0"/>
        <w:jc w:val="both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</w:p>
    <w:p>
      <w:pPr>
        <w:pStyle w:val="3"/>
        <w:spacing w:before="120" w:after="120" w:line="360" w:lineRule="auto"/>
        <w:ind w:firstLine="0"/>
        <w:jc w:val="both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89" w:name="_Toc2887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采购管理</w:t>
      </w:r>
      <w:bookmarkEnd w:id="89"/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90" w:name="_Toc11924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信息维护</w:t>
      </w:r>
      <w:bookmarkEnd w:id="90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1" w:name="_Toc14187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发票信息</w:t>
      </w:r>
      <w:bookmarkEnd w:id="91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1、点击界面上方的“采购管理”按钮，然后在左侧点击“信息维护”按钮，点击下面的“发票信息”按钮。如下图：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214880"/>
            <wp:effectExtent l="0" t="0" r="3810" b="1397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2、在页面的左上角，我们可以点击“新增发票信息”按钮可以进入发票信息界面。如下图：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3、发票信息填写完成之后可以点击“修改保存”按钮修改保存。点击“删除发票信息”按钮删除我们选择的发票。点击“修改发票信息”按钮进入到发票信息的界面，如下图：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4、发票信息填写完成之后可以点击“修改保存”按钮修改保存。我们可以点击最右侧的“设置默认”按钮进行发票信息的设置。如下图：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00300"/>
            <wp:effectExtent l="0" t="0" r="6350" b="7620"/>
            <wp:docPr id="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2" w:name="_Toc22878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收货地址</w:t>
      </w:r>
      <w:bookmarkEnd w:id="92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1、点击界面上方的“采购管理”按钮，然后在左侧点击“信息维护”按钮，点击下面的“收货地址”按钮。如下图：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60675"/>
            <wp:effectExtent l="0" t="0" r="3810" b="1587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2、在页面的左上角，我们可以点击“新增地址”按钮可以进入收货人信息界面。如下图：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3、收货人信息填写完成之后可以点击“修改保存”按钮修改保存。点击“删除地址”按钮删除我们选择的地址。点击“修改地址”按钮进入到收货人信息的界面，如下图：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4、收货人信息填写完成之后可以点击“修改保存”按钮修改保存。我们可以点击最右侧的“设置默认地址”按钮进行默认地址的设置。如下图：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93" w:name="_Toc16398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医疗机构信息维护</w:t>
      </w:r>
      <w:bookmarkEnd w:id="93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1、点击界面上方的“采购管理”按钮，然后在左侧点击“医疗机构信息维护”按钮。如下图：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60675"/>
            <wp:effectExtent l="0" t="0" r="3810" b="1587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2、在页面的左上角，我们可以点击“修改信息”按钮可以修改医疗机构信息。医疗机构信息修改完成之后可以点击“修改保存”按钮修改保存。</w:t>
      </w:r>
    </w:p>
    <w:p>
      <w:pPr>
        <w:rPr>
          <w:rFonts w:hint="eastAsia"/>
          <w:lang w:val="en-US" w:eastAsia="zh-CN"/>
        </w:rPr>
      </w:pPr>
    </w:p>
    <w:p>
      <w:pPr>
        <w:pStyle w:val="4"/>
        <w:spacing w:before="120" w:after="120" w:line="360" w:lineRule="auto"/>
        <w:ind w:firstLine="0"/>
        <w:jc w:val="both"/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</w:pPr>
      <w:bookmarkStart w:id="94" w:name="_Toc24725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采购过程</w:t>
      </w:r>
      <w:bookmarkEnd w:id="94"/>
    </w:p>
    <w:p>
      <w:pPr>
        <w:pStyle w:val="5"/>
        <w:bidi w:val="0"/>
        <w:rPr>
          <w:rFonts w:hint="eastAsia"/>
          <w:lang w:val="en-US" w:eastAsia="zh-CN"/>
        </w:rPr>
      </w:pPr>
      <w:bookmarkStart w:id="95" w:name="_Toc4783"/>
      <w:r>
        <w:rPr>
          <w:rFonts w:hint="eastAsia"/>
          <w:lang w:val="en-US" w:eastAsia="zh-CN"/>
        </w:rPr>
        <w:t>采购产品目录</w:t>
      </w:r>
      <w:bookmarkEnd w:id="95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1、入账号密码登录之后进入主界面，点击界面上方的“采购管理”按钮，然后在左侧点击“采购过程”按钮，点击下面的“采购产品目录”按钮。可以通过产品流水码等信息进行检索。如下图：</w:t>
      </w:r>
    </w:p>
    <w:p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589405"/>
            <wp:effectExtent l="0" t="0" r="317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2、在这个界面的上方可以通过类别，通用名以及产品名称来搜索采购产品。在页面右上角我们可以依次选择“全部”、“已遴选产品”、“未遴选产品</w:t>
      </w:r>
      <w:r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状态来进行搜索。我们可以点击最右侧的“操作”按钮进行查看，进入到查看产品信息界面。如下图：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24405"/>
            <wp:effectExtent l="0" t="0" r="6350" b="444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点击“遴选”按钮，可以将产品添加到遴选产品内。遴选完成之后点击可以在遴选筛选按钮处看到已经遴选的产品。如下图：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3040" cy="1743710"/>
            <wp:effectExtent l="0" t="0" r="3810" b="889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对于已经遴选的产品，也可以在此页面点击遴选按钮进行取消遴选。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3040" cy="1703705"/>
            <wp:effectExtent l="0" t="0" r="3810" b="1079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6" w:name="_Toc19714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遴选产品配送维护</w:t>
      </w:r>
      <w:bookmarkEnd w:id="96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1、点击界面上方的“采购管理”按钮，然后在左侧点击“采购过程”按钮，点击下面的“遴选产品配送维护”按钮。如下图：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651760"/>
            <wp:effectExtent l="0" t="0" r="6350" b="1524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2、在这个界面的上方可以通过“类别”，“通用名”以及“产品名称”，“流水码”来搜索。点击“配送企业”按钮，进入到选择配送企业界面。如下图：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7325" cy="2023110"/>
            <wp:effectExtent l="0" t="0" r="9525" b="1524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25750"/>
            <wp:effectExtent l="0" t="0" r="10160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3、我们可以在里面点击“搜索”按钮来搜索我们想要查找的配送企业。点击“确认选择”按钮选择配送企业。</w:t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4、我们可以点击最右侧的“操作”按钮进行查看，进入到查看产品信息界面。如下图：</w:t>
      </w:r>
    </w:p>
    <w:p>
      <w:pPr>
        <w:pStyle w:val="2"/>
        <w:ind w:left="0" w:leftChars="0" w:firstLine="0" w:firstLineChars="0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10160" b="1270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7" w:name="_Toc18705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遴选产品议价</w:t>
      </w:r>
      <w:bookmarkEnd w:id="97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1、点击界面上方的“采购管理”按钮，然后在左侧点击“采购过程”按钮，点击下面的“遴选产品议价”按钮。如下图：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03780"/>
            <wp:effectExtent l="0" t="0" r="381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/>
        <w:jc w:val="left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在这个界面的上方可以通过“类别”，“通用名”以及“产品名称”来搜索。设置价格。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200" w:right="0" w:rightChars="0"/>
        <w:jc w:val="left"/>
        <w:rPr>
          <w:rFonts w:hint="default" w:ascii="Arial" w:hAnsi="Arial" w:eastAsia="宋体" w:cs="Arial"/>
          <w:color w:val="5C5C5C"/>
          <w:kern w:val="0"/>
          <w:sz w:val="16"/>
          <w:szCs w:val="16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2642870"/>
            <wp:effectExtent l="0" t="0" r="381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/>
        <w:jc w:val="left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勾选要进行议价的产品，点击提交按钮。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241550"/>
            <wp:effectExtent l="0" t="0" r="1143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/>
        <w:jc w:val="left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提交后，会向对应的生产企业发送一个议价申请，生产企业未同意时，请再未确认中查询；生产企业确认议价后，需要在已确认中查询；生产企业拒绝后，需要在已拒绝中查询。当存在未确认的议价时，无法发起下一次议价。只有生产企业完全确认或拒绝后可以发起下一次议价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188210"/>
            <wp:effectExtent l="0" t="0" r="1397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5、只有已确认的产品议价为生效的议价。在新增订单采购时，可以享受议价后的低价。</w:t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8" w:name="_Toc15611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采购订单</w:t>
      </w:r>
      <w:bookmarkEnd w:id="98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1、点击界面上方的“采购管理”按钮，然后在左侧点击“采购过程”按钮，点击下面的“采购订单”按钮。如下图：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60675"/>
            <wp:effectExtent l="0" t="0" r="3810" b="15875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2、在这个界面的上方可以通过“订单编号”，“订单名称”以及“采购人”来搜索。在页面的左上角，我们可以点击“新增采购订单”按钮可以进入新增订单界面。如下图：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3、订单信息填写完成之后可以点击“修改保存”按钮修改保存。如果需要使用模板采购，可以点击“使用模板采购”按钮进入采购模板界面。如下图：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4、在这个界面的上方可以通过“模板名称”，“所在地区”来搜索。我们可以点击最右侧的“操作”按钮进入到修改采购模板界面。如下图：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5、点击“修改保存”按钮修改保存。在页面的左上角，我们可以点击“删除采购订单”按钮删除我们选择的采购订单。我们可以点击最右侧的“操作”按钮进行查看，进入到母订单信息界面。如下图：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9" w:name="_Toc11627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采购模板管理</w:t>
      </w:r>
      <w:bookmarkEnd w:id="99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1、点击界面上方的“采购管理”按钮，然后在左侧点击“采购过程”按钮，点击下面的“采购模板管理”按钮。如下图：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60675"/>
            <wp:effectExtent l="0" t="0" r="3810" b="1587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2、在这个界面的上方可以通过“模板名称”，“所在地区”来搜索。在页面的左上角，我们可以点击“新增采购模板”按钮可以进入新增采购模板界面。如下图：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信息填写完成之后可以点击“修改保存”按钮修改保存。在页面的左上角，我们可以点击“删除采购模板”按钮删除我们选择的采购模板。我们可以点击最右侧的“操作”按钮进行查看，进入到修改采购模板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4、修改完采购模板信息之后，点击“修改保存”按钮修改保存。</w:t>
      </w:r>
    </w:p>
    <w:p>
      <w:pPr>
        <w:pStyle w:val="4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100" w:name="_Toc10819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发货过程</w:t>
      </w:r>
      <w:bookmarkEnd w:id="100"/>
    </w:p>
    <w:p>
      <w:pPr>
        <w:pStyle w:val="5"/>
        <w:bidi w:val="0"/>
        <w:rPr>
          <w:rFonts w:hint="default"/>
          <w:lang w:val="en-US"/>
        </w:rPr>
      </w:pPr>
      <w:bookmarkStart w:id="101" w:name="_Toc28977"/>
      <w:r>
        <w:rPr>
          <w:rFonts w:hint="eastAsia"/>
          <w:lang w:val="en-US" w:eastAsia="zh-CN"/>
        </w:rPr>
        <w:t>确认入库</w:t>
      </w:r>
      <w:bookmarkEnd w:id="101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在采购订单提交后，由配送企业发起确认配送。确认配送后在医疗机构的界面可以查看到对应的配送信息。可以选择相应的配送订单进行确认入库。及批量评价。如下图：</w:t>
      </w:r>
    </w:p>
    <w:p>
      <w:r>
        <w:drawing>
          <wp:inline distT="0" distB="0" distL="114300" distR="114300">
            <wp:extent cx="5273040" cy="2860675"/>
            <wp:effectExtent l="0" t="0" r="3810" b="1587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102" w:name="_Toc11321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退货流程</w:t>
      </w:r>
      <w:bookmarkEnd w:id="102"/>
    </w:p>
    <w:p>
      <w:pPr>
        <w:pStyle w:val="5"/>
        <w:spacing w:before="120" w:after="120" w:line="360" w:lineRule="auto"/>
        <w:ind w:left="0"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103" w:name="_Toc13079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订单退货</w:t>
      </w:r>
      <w:bookmarkEnd w:id="103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1、点击界面上方的“采购管理”按钮，然后在左侧点击“退货流程”按钮，点击下面的“订单退货”按钮。如下图：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60675"/>
            <wp:effectExtent l="0" t="0" r="3810" b="1587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2、在这个界面的上方可以通过“订单编号”，“订单名称”来搜索。在页面的左上角，我们可以点击“新增退货订单”按钮可以进入新增退货订单界面。如下图：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3、在这个界面的上方可以通过“订单编号”，“订单名称”来搜索。选择我们要退货的订单编号，点击下方的“确认选择”按钮进入新增订单退货申请页面，如下图：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4、完成退货订单信息的填写后点击“修改保存”按钮修改保存，点击“提交信息”按钮，进入请输入意见页面，如下图：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5、填写完意见后点击“确认提交”按钮确认提交。在页面的左上角，我们可以点击“删除退货订单”按钮删除我们选择的退货订单。我们可以点击最右侧的“操作”按钮进行查看，进入到修改订单退货申请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6、修改完退货订单信息之后，点击“修改保存”按钮修改保存。</w:t>
      </w:r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104" w:name="_Toc74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结算支付管理</w:t>
      </w:r>
      <w:bookmarkEnd w:id="104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105" w:name="_Toc5693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未开票医院</w:t>
      </w:r>
      <w:bookmarkEnd w:id="105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1、点击界面上方的“采购管理”按钮，然后在左侧点击“结算支付管理”按钮，点击下面的“未开票医院”按钮。如下图：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2、在这个界面的上方可以通过“医疗机构编号”，“医疗机构名称”来搜索。我们可以点击最右侧的“详情”按钮进行查看，进入到订单信息界面。如下图：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3、在这个界面的上方可以通过“订单编号”，“订单名称”以及“采购人”来搜索。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106" w:name="_Toc13040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发票管理</w:t>
      </w:r>
      <w:bookmarkEnd w:id="106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1、点击界面上方的“采购管理”按钮，然后在左侧点击“结算支付管理”按钮，点击下面的“发票管理”按钮。如下图：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2、在这个界面的上方可以通过“发票号”，“医疗机构编号”以及“医疗机构名称”来搜索。在页面的左上角，我们可以点击“新增发票”按钮可以进入新增发票界面。如下图：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3、发票信息填写完成之后可以点击“修改保存”按钮修改保存。点击“提交信息”按钮进入请输入意见的界面，如下图：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4、点击“确认提交”按钮进行提交。在页面的左上角，我们可以点击“删除发票”按钮删除我们选择的发票。我们可以点击最右侧的“操作”按钮进行查看，进入到发票信息界面。如下图：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5、点击“修改”按钮进入修改发票界面，如下图：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6、填写完发票信息后点击“修改保存”按钮修改保存。</w:t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107" w:name="_Toc31652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结算管理</w:t>
      </w:r>
      <w:bookmarkEnd w:id="107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1、点击界面上方的“采购管理”按钮，然后在左侧点击“结算支付管理”按钮，点击下面的“结算管理”按钮。如下图：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2、在这个界面的上方可以通过“结算单编号”，“医疗机构编号”以及“医疗机构名称”来搜索。我们可以点击最右侧的“操作”按钮进行查看，进入到查看订单结算界面。如下图：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3、点击“修改”按钮进入修改产品界面，如下图：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kern w:val="2"/>
          <w:sz w:val="21"/>
          <w:szCs w:val="24"/>
          <w:lang w:val="en-US" w:eastAsia="zh-CN" w:bidi="ar-SA"/>
        </w:rPr>
        <w:t>4、填写完结算信息后点击“修改保存”按钮修改保存。</w:t>
      </w:r>
    </w:p>
    <w:p>
      <w:pPr>
        <w:pStyle w:val="2"/>
        <w:rPr>
          <w:rFonts w:hint="eastAsia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567" w:footer="624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黑体 CN Regular">
    <w:panose1 w:val="020B0500000000000000"/>
    <w:charset w:val="86"/>
    <w:family w:val="swiss"/>
    <w:pitch w:val="default"/>
    <w:sig w:usb0="20000003" w:usb1="2ADF3C10" w:usb2="00000016" w:usb3="00000000" w:csb0="60060107" w:csb1="00000000"/>
  </w:font>
  <w:font w:name="思源黑体 CN ExtraLight">
    <w:altName w:val="黑体"/>
    <w:panose1 w:val="020B02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  <w:t>2</w:t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思源宋体 CN ExtraLight"/>
                              <w:kern w:val="2"/>
                              <w:sz w:val="21"/>
                              <w:szCs w:val="24"/>
                              <w:lang w:val="en-US" w:eastAsia="zh-CN" w:bidi="ar-SA"/>
                            </w:rPr>
                            <w:t xml:space="preserve"> / 26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82AzAgAAYwQAAA4AAABkcnMvZTJvRG9jLnhtbK1UzY7TMBC+I/EO&#10;lu80aRGrUj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1TYphGx08/vp9+&#10;Ppx+fSM4g0CNCzPE3TtExvadbTE2w3nAYeLdVl6nLxgR+CHv8SKvaCPh6dJ0Mp3mcHH4hg3ws8fr&#10;zof4XlhNklFQj/51srLDJsQ+dAhJ2YxdS6W6HipDmoJevX6T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82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  <w:t>2</w:t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思源宋体 CN ExtraLight" w:hAnsi="思源宋体 CN ExtraLight" w:eastAsia="思源宋体 CN ExtraLight" w:cs="思源宋体 CN ExtraLight"/>
                        <w:kern w:val="2"/>
                        <w:sz w:val="21"/>
                        <w:szCs w:val="24"/>
                        <w:lang w:val="en-US" w:eastAsia="zh-CN" w:bidi="ar-SA"/>
                      </w:rPr>
                      <w:t xml:space="preserve"> / 26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4823460</wp:posOffset>
              </wp:positionH>
              <wp:positionV relativeFrom="paragraph">
                <wp:posOffset>0</wp:posOffset>
              </wp:positionV>
              <wp:extent cx="45085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left="0" w:leftChars="0" w:firstLine="0" w:firstLineChars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8pt;margin-top:0pt;height:144pt;width:35.5pt;mso-position-horizontal-relative:margin;z-index:251662336;mso-width-relative:page;mso-height-relative:page;" filled="f" stroked="f" coordsize="21600,21600" o:gfxdata="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7KGc7WAAAACAEAAA8AAAAAAAAAAQAgAAAAIgAAAGRycy9kb3ducmV2&#10;LnhtbFBLAQIUABQAAAAIAIdO4kCbFZQlNwIAAGQ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left="0" w:leftChars="0" w:firstLine="0" w:firstLineChars="0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left="0" w:leftChars="0" w:firstLine="0" w:firstLineChars="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FSExU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FSEx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left="0" w:leftChars="0" w:firstLine="0" w:firstLineChars="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G+V5wzAgAAYwQAAA4AAABkcnMvZTJvRG9jLnhtbK1UzY7TMBC+I/EO&#10;lu80aRFL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1TYphGx08/vp9+&#10;Ppx+fSM4g0CNCzPE3TtExvadbTE2w3nAYeLdVl6nLxgR+CHv8SKvaCPh6dJ0Mp3mcHH4hg3ws8fr&#10;zof4XlhNklFQj/51srLDJsQ+dAhJ2YxdS6W6HipDmoJevX6T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G+V5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4822190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9.7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P+eU9YAAAAJAQAADwAAAAAAAAABACAAAAAiAAAAZHJzL2Rvd25yZXYueG1s&#10;UEsBAhQAFAAAAAgAh07iQJZAnnc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thickThinSmallGap" w:color="622423" w:sz="24" w:space="1"/>
      </w:pBdr>
      <w:snapToGrid w:val="0"/>
      <w:spacing w:line="240" w:lineRule="auto"/>
      <w:ind w:firstLine="0" w:firstLineChars="0"/>
      <w:jc w:val="left"/>
    </w:pPr>
    <w:r>
      <w:rPr>
        <w:rFonts w:hint="eastAsia" w:ascii="思源宋体 CN Light" w:hAnsi="思源宋体 CN Light" w:eastAsia="思源宋体 CN Light" w:cs="思源宋体 CN Light"/>
        <w:kern w:val="2"/>
        <w:sz w:val="18"/>
        <w:szCs w:val="18"/>
        <w:lang w:val="en-US" w:eastAsia="zh-CN" w:bidi="ar-SA"/>
      </w:rPr>
      <w:drawing>
        <wp:inline distT="0" distB="0" distL="114300" distR="114300">
          <wp:extent cx="883285" cy="201930"/>
          <wp:effectExtent l="0" t="0" r="635" b="11430"/>
          <wp:docPr id="212" name="图片 21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图片 21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kern w:val="2"/>
        <w:sz w:val="18"/>
        <w:szCs w:val="18"/>
        <w:lang w:val="en-US" w:eastAsia="zh-CN" w:bidi="ar-SA"/>
      </w:rPr>
      <w:t xml:space="preserve">黑龙江省公共资源交易中心政府采购系统中心端医疗机构操作手册    </w:t>
    </w:r>
    <w:r>
      <w:rPr>
        <w:rFonts w:hint="eastAsia" w:ascii="宋体" w:hAnsi="宋体" w:eastAsia="思源宋体 CN Light" w:cs="思源宋体 CN Light"/>
        <w:kern w:val="2"/>
        <w:sz w:val="18"/>
        <w:szCs w:val="18"/>
        <w:lang w:val="en-US" w:eastAsia="zh-CN" w:bidi="ar-SA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11E37C"/>
    <w:multiLevelType w:val="multilevel"/>
    <w:tmpl w:val="9B11E37C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bCs/>
        <w:sz w:val="32"/>
        <w:szCs w:val="32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思源宋体 CN Light" w:hAnsi="思源宋体 CN Light" w:eastAsia="思源宋体 CN Light" w:cs="思源宋体 CN Light"/>
        <w:b/>
        <w:bCs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eastAsia" w:ascii="宋体" w:hAnsi="宋体" w:eastAsia="宋体" w:cs="宋体"/>
        <w:b/>
        <w:bCs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monospace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4F056C99"/>
    <w:multiLevelType w:val="singleLevel"/>
    <w:tmpl w:val="4F056C99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6D0AAF50"/>
    <w:multiLevelType w:val="singleLevel"/>
    <w:tmpl w:val="6D0AAF5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33243A"/>
    <w:rsid w:val="00201A1D"/>
    <w:rsid w:val="00421482"/>
    <w:rsid w:val="00443D69"/>
    <w:rsid w:val="00446AE5"/>
    <w:rsid w:val="006B367F"/>
    <w:rsid w:val="007369E4"/>
    <w:rsid w:val="007A44B2"/>
    <w:rsid w:val="00B32917"/>
    <w:rsid w:val="00C82340"/>
    <w:rsid w:val="00E65FE5"/>
    <w:rsid w:val="00F51B9B"/>
    <w:rsid w:val="012237BD"/>
    <w:rsid w:val="017D1096"/>
    <w:rsid w:val="022D30E7"/>
    <w:rsid w:val="03233F13"/>
    <w:rsid w:val="032422FA"/>
    <w:rsid w:val="04222D0D"/>
    <w:rsid w:val="06BA1C96"/>
    <w:rsid w:val="088F78C4"/>
    <w:rsid w:val="0D162D02"/>
    <w:rsid w:val="0D806411"/>
    <w:rsid w:val="0DCD1D46"/>
    <w:rsid w:val="0DEE0E36"/>
    <w:rsid w:val="0EFE2B35"/>
    <w:rsid w:val="0FA53AD3"/>
    <w:rsid w:val="0FDD361E"/>
    <w:rsid w:val="106B04C3"/>
    <w:rsid w:val="10ED1E9B"/>
    <w:rsid w:val="11C27C33"/>
    <w:rsid w:val="13FD0859"/>
    <w:rsid w:val="168E4C1D"/>
    <w:rsid w:val="1692015C"/>
    <w:rsid w:val="18737571"/>
    <w:rsid w:val="19C020F7"/>
    <w:rsid w:val="1A402868"/>
    <w:rsid w:val="1BD526F3"/>
    <w:rsid w:val="1C2779ED"/>
    <w:rsid w:val="1E446E2C"/>
    <w:rsid w:val="202435C1"/>
    <w:rsid w:val="20DB6717"/>
    <w:rsid w:val="21A468DD"/>
    <w:rsid w:val="21C43344"/>
    <w:rsid w:val="23EF4FA8"/>
    <w:rsid w:val="242336D0"/>
    <w:rsid w:val="25B57D9A"/>
    <w:rsid w:val="26CE535D"/>
    <w:rsid w:val="271F4A3F"/>
    <w:rsid w:val="27F56008"/>
    <w:rsid w:val="290E43B1"/>
    <w:rsid w:val="29491B6C"/>
    <w:rsid w:val="2BA47EDF"/>
    <w:rsid w:val="2C6D0A2F"/>
    <w:rsid w:val="2E693E30"/>
    <w:rsid w:val="323A3093"/>
    <w:rsid w:val="32845E08"/>
    <w:rsid w:val="35106456"/>
    <w:rsid w:val="373C6B16"/>
    <w:rsid w:val="374C00F6"/>
    <w:rsid w:val="37B10831"/>
    <w:rsid w:val="38D05517"/>
    <w:rsid w:val="3E3F7D44"/>
    <w:rsid w:val="429E12DA"/>
    <w:rsid w:val="43CB5111"/>
    <w:rsid w:val="44080BB8"/>
    <w:rsid w:val="447647D8"/>
    <w:rsid w:val="448F1034"/>
    <w:rsid w:val="46E84374"/>
    <w:rsid w:val="47D97329"/>
    <w:rsid w:val="48B06373"/>
    <w:rsid w:val="48D2595C"/>
    <w:rsid w:val="48DB7CAF"/>
    <w:rsid w:val="49931F02"/>
    <w:rsid w:val="49990463"/>
    <w:rsid w:val="49EE5E0E"/>
    <w:rsid w:val="4A910540"/>
    <w:rsid w:val="4E8F4EA8"/>
    <w:rsid w:val="51DA2956"/>
    <w:rsid w:val="52400F44"/>
    <w:rsid w:val="58626694"/>
    <w:rsid w:val="593A408C"/>
    <w:rsid w:val="598C7F9A"/>
    <w:rsid w:val="5A2C5A42"/>
    <w:rsid w:val="5B671403"/>
    <w:rsid w:val="5C33243A"/>
    <w:rsid w:val="60F86404"/>
    <w:rsid w:val="62407F84"/>
    <w:rsid w:val="630854FD"/>
    <w:rsid w:val="64263203"/>
    <w:rsid w:val="6488345D"/>
    <w:rsid w:val="662C13FA"/>
    <w:rsid w:val="66C4404B"/>
    <w:rsid w:val="6913285B"/>
    <w:rsid w:val="69C45766"/>
    <w:rsid w:val="6A1816B9"/>
    <w:rsid w:val="6B4F6021"/>
    <w:rsid w:val="6B9E6AC4"/>
    <w:rsid w:val="6F4D297D"/>
    <w:rsid w:val="749C3730"/>
    <w:rsid w:val="76AE08E5"/>
    <w:rsid w:val="775C663F"/>
    <w:rsid w:val="79F0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340" w:after="330" w:line="576" w:lineRule="auto"/>
      <w:ind w:firstLine="0"/>
      <w:outlineLvl w:val="0"/>
    </w:pPr>
    <w:rPr>
      <w:rFonts w:ascii="Times New Roman" w:hAnsi="Times New Roman" w:eastAsia="宋体" w:cs="Times New Roman"/>
      <w:b/>
      <w:kern w:val="44"/>
      <w:sz w:val="44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widowControl w:val="0"/>
      <w:numPr>
        <w:ilvl w:val="1"/>
        <w:numId w:val="1"/>
      </w:numPr>
      <w:spacing w:before="260" w:after="260" w:line="413" w:lineRule="auto"/>
      <w:ind w:firstLine="0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-SA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widowControl w:val="0"/>
      <w:numPr>
        <w:ilvl w:val="2"/>
        <w:numId w:val="1"/>
      </w:numPr>
      <w:spacing w:before="260" w:after="260" w:line="413" w:lineRule="auto"/>
      <w:ind w:firstLine="0"/>
      <w:outlineLvl w:val="2"/>
    </w:pPr>
    <w:rPr>
      <w:rFonts w:ascii="Times New Roman" w:hAnsi="Times New Roman" w:eastAsia="宋体" w:cs="Times New Roman"/>
      <w:b/>
      <w:kern w:val="2"/>
      <w:sz w:val="32"/>
      <w:szCs w:val="24"/>
      <w:lang w:val="en-US" w:eastAsia="zh-CN" w:bidi="ar-SA"/>
    </w:rPr>
  </w:style>
  <w:style w:type="paragraph" w:styleId="6">
    <w:name w:val="heading 4"/>
    <w:next w:val="1"/>
    <w:qFormat/>
    <w:uiPriority w:val="0"/>
    <w:pPr>
      <w:keepNext/>
      <w:keepLines/>
      <w:widowControl w:val="0"/>
      <w:numPr>
        <w:ilvl w:val="3"/>
        <w:numId w:val="1"/>
      </w:numPr>
      <w:spacing w:before="120" w:after="120" w:line="360" w:lineRule="auto"/>
      <w:ind w:firstLine="0" w:firstLineChars="0"/>
      <w:outlineLvl w:val="3"/>
    </w:pPr>
    <w:rPr>
      <w:rFonts w:ascii="Times New Roman" w:hAnsi="Times New Roman" w:eastAsia="宋体" w:cs="Times New Roman"/>
      <w:b/>
      <w:bCs/>
      <w:kern w:val="2"/>
      <w:sz w:val="24"/>
      <w:szCs w:val="28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7">
    <w:name w:val="annotation text"/>
    <w:basedOn w:val="1"/>
    <w:link w:val="40"/>
    <w:qFormat/>
    <w:uiPriority w:val="0"/>
  </w:style>
  <w:style w:type="paragraph" w:styleId="8">
    <w:name w:val="toc 3"/>
    <w:basedOn w:val="1"/>
    <w:next w:val="1"/>
    <w:qFormat/>
    <w:uiPriority w:val="39"/>
    <w:pPr>
      <w:spacing w:line="240" w:lineRule="auto"/>
      <w:ind w:left="400" w:leftChars="400" w:firstLine="0" w:firstLineChars="0"/>
    </w:pPr>
    <w:rPr>
      <w:rFonts w:eastAsia="思源宋体 CN ExtraLight"/>
    </w:rPr>
  </w:style>
  <w:style w:type="paragraph" w:styleId="9">
    <w:name w:val="Balloon Text"/>
    <w:basedOn w:val="1"/>
    <w:link w:val="39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2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eastAsia="思源宋体 CN ExtraLight"/>
    </w:rPr>
  </w:style>
  <w:style w:type="paragraph" w:styleId="13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  <w:rPr>
      <w:rFonts w:eastAsia="思源宋体 CN ExtraLight"/>
    </w:rPr>
  </w:style>
  <w:style w:type="paragraph" w:styleId="14">
    <w:name w:val="Normal (Web)"/>
    <w:basedOn w:val="1"/>
    <w:qFormat/>
    <w:uiPriority w:val="0"/>
    <w:rPr>
      <w:sz w:val="24"/>
    </w:rPr>
  </w:style>
  <w:style w:type="paragraph" w:styleId="15">
    <w:name w:val="annotation subject"/>
    <w:basedOn w:val="7"/>
    <w:next w:val="7"/>
    <w:link w:val="41"/>
    <w:qFormat/>
    <w:uiPriority w:val="0"/>
    <w:rPr>
      <w:b/>
      <w:bCs/>
    </w:rPr>
  </w:style>
  <w:style w:type="character" w:styleId="18">
    <w:name w:val="Strong"/>
    <w:basedOn w:val="17"/>
    <w:qFormat/>
    <w:uiPriority w:val="0"/>
    <w:rPr>
      <w:b/>
      <w:bdr w:val="single" w:color="BDBEC1" w:sz="4" w:space="0"/>
      <w:shd w:val="clear" w:color="auto" w:fill="FFFFFF"/>
    </w:rPr>
  </w:style>
  <w:style w:type="character" w:styleId="19">
    <w:name w:val="FollowedHyperlink"/>
    <w:basedOn w:val="17"/>
    <w:qFormat/>
    <w:uiPriority w:val="0"/>
    <w:rPr>
      <w:color w:val="800080"/>
      <w:u w:val="none"/>
    </w:rPr>
  </w:style>
  <w:style w:type="character" w:styleId="20">
    <w:name w:val="Emphasis"/>
    <w:basedOn w:val="17"/>
    <w:qFormat/>
    <w:uiPriority w:val="0"/>
    <w:rPr>
      <w:b/>
    </w:rPr>
  </w:style>
  <w:style w:type="character" w:styleId="21">
    <w:name w:val="HTML Definition"/>
    <w:basedOn w:val="17"/>
    <w:qFormat/>
    <w:uiPriority w:val="0"/>
  </w:style>
  <w:style w:type="character" w:styleId="22">
    <w:name w:val="HTML Typewriter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qFormat/>
    <w:uiPriority w:val="0"/>
    <w:rPr>
      <w:shd w:val="clear" w:fill="FFFFFF"/>
    </w:rPr>
  </w:style>
  <w:style w:type="character" w:styleId="24">
    <w:name w:val="HTML Variable"/>
    <w:basedOn w:val="17"/>
    <w:qFormat/>
    <w:uiPriority w:val="0"/>
  </w:style>
  <w:style w:type="character" w:styleId="25">
    <w:name w:val="Hyperlink"/>
    <w:basedOn w:val="17"/>
    <w:qFormat/>
    <w:uiPriority w:val="99"/>
    <w:rPr>
      <w:color w:val="0000FF"/>
      <w:u w:val="none"/>
    </w:rPr>
  </w:style>
  <w:style w:type="character" w:styleId="26">
    <w:name w:val="HTML Code"/>
    <w:basedOn w:val="17"/>
    <w:qFormat/>
    <w:uiPriority w:val="0"/>
    <w:rPr>
      <w:rFonts w:ascii="monospace" w:hAnsi="monospace" w:eastAsia="monospace" w:cs="monospace"/>
      <w:sz w:val="20"/>
    </w:rPr>
  </w:style>
  <w:style w:type="character" w:styleId="27">
    <w:name w:val="annotation reference"/>
    <w:basedOn w:val="17"/>
    <w:qFormat/>
    <w:uiPriority w:val="0"/>
    <w:rPr>
      <w:sz w:val="21"/>
      <w:szCs w:val="21"/>
    </w:rPr>
  </w:style>
  <w:style w:type="character" w:styleId="28">
    <w:name w:val="HTML Cite"/>
    <w:basedOn w:val="17"/>
    <w:qFormat/>
    <w:uiPriority w:val="0"/>
  </w:style>
  <w:style w:type="character" w:styleId="29">
    <w:name w:val="HTML Keyboard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30">
    <w:name w:val="HTML Sample"/>
    <w:basedOn w:val="17"/>
    <w:qFormat/>
    <w:uiPriority w:val="0"/>
    <w:rPr>
      <w:rFonts w:hint="default" w:ascii="monospace" w:hAnsi="monospace" w:eastAsia="monospace" w:cs="monospace"/>
    </w:rPr>
  </w:style>
  <w:style w:type="paragraph" w:customStyle="1" w:styleId="31">
    <w:name w:val="Indent Normal"/>
    <w:qFormat/>
    <w:uiPriority w:val="0"/>
    <w:pPr>
      <w:widowControl w:val="0"/>
      <w:spacing w:line="360" w:lineRule="auto"/>
      <w:ind w:firstLine="150" w:firstLineChars="15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32">
    <w:name w:val="hover1"/>
    <w:basedOn w:val="17"/>
    <w:qFormat/>
    <w:uiPriority w:val="0"/>
    <w:rPr>
      <w:color w:val="2590EB"/>
    </w:rPr>
  </w:style>
  <w:style w:type="character" w:customStyle="1" w:styleId="33">
    <w:name w:val="hover2"/>
    <w:basedOn w:val="17"/>
    <w:qFormat/>
    <w:uiPriority w:val="0"/>
    <w:rPr>
      <w:color w:val="2590EB"/>
    </w:rPr>
  </w:style>
  <w:style w:type="character" w:customStyle="1" w:styleId="34">
    <w:name w:val="hover3"/>
    <w:basedOn w:val="17"/>
    <w:qFormat/>
    <w:uiPriority w:val="0"/>
  </w:style>
  <w:style w:type="character" w:customStyle="1" w:styleId="35">
    <w:name w:val="hover"/>
    <w:basedOn w:val="17"/>
    <w:qFormat/>
    <w:uiPriority w:val="0"/>
    <w:rPr>
      <w:color w:val="2590EB"/>
    </w:r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批注框文本 Char"/>
    <w:basedOn w:val="17"/>
    <w:link w:val="9"/>
    <w:qFormat/>
    <w:uiPriority w:val="0"/>
    <w:rPr>
      <w:kern w:val="2"/>
      <w:sz w:val="18"/>
      <w:szCs w:val="18"/>
    </w:rPr>
  </w:style>
  <w:style w:type="character" w:customStyle="1" w:styleId="40">
    <w:name w:val="批注文字 Char"/>
    <w:basedOn w:val="17"/>
    <w:link w:val="7"/>
    <w:qFormat/>
    <w:uiPriority w:val="0"/>
    <w:rPr>
      <w:kern w:val="2"/>
      <w:sz w:val="21"/>
      <w:szCs w:val="24"/>
    </w:rPr>
  </w:style>
  <w:style w:type="character" w:customStyle="1" w:styleId="41">
    <w:name w:val="批注主题 Char"/>
    <w:basedOn w:val="40"/>
    <w:link w:val="15"/>
    <w:qFormat/>
    <w:uiPriority w:val="0"/>
    <w:rPr>
      <w:b/>
      <w:bCs/>
      <w:kern w:val="2"/>
      <w:sz w:val="21"/>
      <w:szCs w:val="24"/>
    </w:rPr>
  </w:style>
  <w:style w:type="character" w:customStyle="1" w:styleId="42">
    <w:name w:val="status"/>
    <w:basedOn w:val="17"/>
    <w:qFormat/>
    <w:uiPriority w:val="0"/>
    <w:rPr>
      <w:color w:val="0776DD"/>
    </w:rPr>
  </w:style>
  <w:style w:type="character" w:customStyle="1" w:styleId="43">
    <w:name w:val="room"/>
    <w:basedOn w:val="17"/>
    <w:qFormat/>
    <w:uiPriority w:val="0"/>
  </w:style>
  <w:style w:type="paragraph" w:customStyle="1" w:styleId="44">
    <w:name w:val="mini-messagebox-msg"/>
    <w:basedOn w:val="1"/>
    <w:qFormat/>
    <w:uiPriority w:val="0"/>
    <w:pPr>
      <w:wordWrap w:val="0"/>
      <w:spacing w:line="288" w:lineRule="atLeast"/>
      <w:ind w:left="1200"/>
      <w:jc w:val="left"/>
    </w:pPr>
    <w:rPr>
      <w:kern w:val="0"/>
      <w:sz w:val="15"/>
      <w:szCs w:val="15"/>
      <w:lang w:val="en-US" w:eastAsia="zh-CN" w:bidi="ar"/>
    </w:rPr>
  </w:style>
  <w:style w:type="character" w:customStyle="1" w:styleId="45">
    <w:name w:val="layui-layer-tabnow"/>
    <w:basedOn w:val="17"/>
    <w:qFormat/>
    <w:uiPriority w:val="0"/>
    <w:rPr>
      <w:bdr w:val="single" w:color="CCCCCC" w:sz="4" w:space="0"/>
      <w:shd w:val="clear" w:fill="FFFFFF"/>
    </w:rPr>
  </w:style>
  <w:style w:type="character" w:customStyle="1" w:styleId="46">
    <w:name w:val="first-child"/>
    <w:basedOn w:val="17"/>
    <w:qFormat/>
    <w:uiPriority w:val="0"/>
  </w:style>
  <w:style w:type="character" w:customStyle="1" w:styleId="47">
    <w:name w:val="time"/>
    <w:basedOn w:val="17"/>
    <w:qFormat/>
    <w:uiPriority w:val="0"/>
  </w:style>
  <w:style w:type="character" w:customStyle="1" w:styleId="48">
    <w:name w:val="timeaxis"/>
    <w:basedOn w:val="17"/>
    <w:qFormat/>
    <w:uiPriority w:val="0"/>
  </w:style>
  <w:style w:type="character" w:customStyle="1" w:styleId="49">
    <w:name w:val="mini-outputtext1"/>
    <w:basedOn w:val="1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7" Type="http://schemas.openxmlformats.org/officeDocument/2006/relationships/fontTable" Target="fontTable.xml"/><Relationship Id="rId76" Type="http://schemas.openxmlformats.org/officeDocument/2006/relationships/customXml" Target="../customXml/item2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CF734A-1403-43F1-A973-FAB7850F1C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107</Pages>
  <Words>3114</Words>
  <Characters>17750</Characters>
  <Lines>147</Lines>
  <Paragraphs>41</Paragraphs>
  <TotalTime>0</TotalTime>
  <ScaleCrop>false</ScaleCrop>
  <LinksUpToDate>false</LinksUpToDate>
  <CharactersWithSpaces>20823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2020-09-16T06:00:00Z</dcterms:created>
  <dc:creator>啦啦啦</dc:creator>
  <cp:lastModifiedBy>刘乃斌</cp:lastModifiedBy>
  <dcterms:modified xsi:type="dcterms:W3CDTF">2021-08-12T08:37:04Z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0D6E89A66CD14E55ACA18ECE61ADC3DF</vt:lpwstr>
  </property>
</Properties>
</file>