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5"/>
        <w:rPr>
          <w:rFonts w:eastAsia="华文新魏"/>
          <w:b/>
          <w:spacing w:val="-70"/>
          <w:sz w:val="72"/>
          <w:szCs w:val="7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1044"/>
        <w:jc w:val="center"/>
        <w:rPr>
          <w:rFonts w:eastAsia="黑体"/>
          <w:b/>
          <w:color w:val="000000" w:themeColor="text1"/>
          <w:sz w:val="52"/>
          <w:szCs w:val="52"/>
        </w:rPr>
      </w:pPr>
      <w:r>
        <w:rPr>
          <w:rFonts w:hint="eastAsia" w:eastAsia="黑体"/>
          <w:b/>
          <w:color w:val="000000" w:themeColor="text1"/>
          <w:sz w:val="52"/>
          <w:szCs w:val="52"/>
        </w:rPr>
        <w:t>招投标交易系统7.0-2018</w:t>
      </w:r>
    </w:p>
    <w:p>
      <w:pPr>
        <w:ind w:firstLine="1044"/>
        <w:jc w:val="center"/>
        <w:rPr>
          <w:rFonts w:eastAsia="黑体"/>
          <w:b/>
          <w:color w:val="000000" w:themeColor="text1"/>
          <w:sz w:val="52"/>
          <w:szCs w:val="52"/>
        </w:rPr>
      </w:pPr>
      <w:r>
        <w:rPr>
          <w:rFonts w:hint="eastAsia" w:eastAsia="黑体"/>
          <w:b/>
          <w:color w:val="000000" w:themeColor="text1"/>
          <w:sz w:val="52"/>
          <w:szCs w:val="52"/>
        </w:rPr>
        <w:t>矿权交易</w:t>
      </w:r>
    </w:p>
    <w:p>
      <w:pPr>
        <w:ind w:firstLine="1044"/>
        <w:jc w:val="center"/>
        <w:rPr>
          <w:rFonts w:eastAsia="黑体"/>
          <w:b/>
          <w:color w:val="000000" w:themeColor="text1"/>
          <w:sz w:val="52"/>
          <w:szCs w:val="52"/>
        </w:rPr>
      </w:pPr>
      <w:r>
        <w:rPr>
          <w:rFonts w:hint="eastAsia" w:eastAsia="黑体"/>
          <w:b/>
          <w:color w:val="000000" w:themeColor="text1"/>
          <w:sz w:val="52"/>
          <w:szCs w:val="52"/>
        </w:rPr>
        <w:t>交易中心操作手册</w:t>
      </w: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8"/>
        <w:tabs>
          <w:tab w:val="right" w:leader="dot" w:pos="8312"/>
        </w:tabs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</w:instrText>
      </w:r>
      <w:r>
        <w:rPr>
          <w:rFonts w:ascii="Calibri" w:hAnsi="Calibri"/>
        </w:rPr>
        <w:fldChar w:fldCharType="separate"/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HYPERLINK \l _Toc24709 </w:instrText>
      </w:r>
      <w:r>
        <w:rPr>
          <w:rFonts w:ascii="Calibri" w:hAnsi="Calibri"/>
        </w:rP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_Toc24709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hAnsi="Calibri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_Toc16935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_Toc16935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_Toc8628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_Toc8628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_Toc3808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1.2、 </w:t>
      </w:r>
      <w:r>
        <w:t>检测工具</w:t>
      </w:r>
      <w:r>
        <w:tab/>
      </w:r>
      <w:r>
        <w:fldChar w:fldCharType="begin"/>
      </w:r>
      <w:r>
        <w:instrText xml:space="preserve"> PAGEREF _Toc3808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_Toc6228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1.2.1、 </w:t>
      </w:r>
      <w:r>
        <w:t>启动检测工具</w:t>
      </w:r>
      <w:r>
        <w:tab/>
      </w:r>
      <w:r>
        <w:fldChar w:fldCharType="begin"/>
      </w:r>
      <w:r>
        <w:instrText xml:space="preserve"> PAGEREF _Toc6228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_Toc27581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1.2.2、 </w:t>
      </w:r>
      <w:r>
        <w:t>系统检测</w:t>
      </w:r>
      <w:r>
        <w:tab/>
      </w:r>
      <w:r>
        <w:fldChar w:fldCharType="begin"/>
      </w:r>
      <w:r>
        <w:instrText xml:space="preserve"> PAGEREF _Toc27581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_Toc14884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1.2.3、 </w:t>
      </w:r>
      <w:r>
        <w:t>控件检测</w:t>
      </w:r>
      <w:r>
        <w:tab/>
      </w:r>
      <w:r>
        <w:fldChar w:fldCharType="begin"/>
      </w:r>
      <w:r>
        <w:instrText xml:space="preserve"> PAGEREF _Toc14884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_Toc27964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1.2.4、 </w:t>
      </w:r>
      <w:r>
        <w:t>证书检测</w:t>
      </w:r>
      <w:r>
        <w:tab/>
      </w:r>
      <w:r>
        <w:fldChar w:fldCharType="begin"/>
      </w:r>
      <w:r>
        <w:instrText xml:space="preserve"> PAGEREF _Toc27964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_Toc20599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_Toc20599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_Toc27375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1.3.1、 </w:t>
      </w:r>
      <w:r>
        <w:t>Internet选项</w:t>
      </w:r>
      <w:r>
        <w:tab/>
      </w:r>
      <w:r>
        <w:fldChar w:fldCharType="begin"/>
      </w:r>
      <w:r>
        <w:instrText xml:space="preserve"> PAGEREF _Toc27375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_Toc25086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1.3.2、 </w:t>
      </w:r>
      <w:r>
        <w:t>关闭拦截工具</w:t>
      </w:r>
      <w:r>
        <w:tab/>
      </w:r>
      <w:r>
        <w:fldChar w:fldCharType="begin"/>
      </w:r>
      <w:r>
        <w:instrText xml:space="preserve"> PAGEREF _Toc25086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8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_Toc12441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二、 </w:t>
      </w:r>
      <w:r>
        <w:rPr>
          <w:rFonts w:hint="eastAsia"/>
        </w:rPr>
        <w:t>矿权交易</w:t>
      </w:r>
      <w:r>
        <w:tab/>
      </w:r>
      <w:r>
        <w:fldChar w:fldCharType="begin"/>
      </w:r>
      <w:r>
        <w:instrText xml:space="preserve"> PAGEREF _Toc12441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_Toc21474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2.1、 </w:t>
      </w:r>
      <w:r>
        <w:rPr>
          <w:rFonts w:hint="eastAsia"/>
        </w:rPr>
        <w:t>项目管理</w:t>
      </w:r>
      <w:r>
        <w:tab/>
      </w:r>
      <w:r>
        <w:fldChar w:fldCharType="begin"/>
      </w:r>
      <w:r>
        <w:instrText xml:space="preserve"> PAGEREF _Toc21474 </w:instrText>
      </w:r>
      <w:r>
        <w:fldChar w:fldCharType="separate"/>
      </w:r>
      <w:r>
        <w:t>13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_Toc32108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2.1.1、 </w:t>
      </w:r>
      <w:r>
        <w:rPr>
          <w:rFonts w:hint="eastAsia"/>
        </w:rPr>
        <w:t>新增矿区</w:t>
      </w:r>
      <w:r>
        <w:tab/>
      </w:r>
      <w:r>
        <w:fldChar w:fldCharType="begin"/>
      </w:r>
      <w:r>
        <w:instrText xml:space="preserve"> PAGEREF _Toc32108 </w:instrText>
      </w:r>
      <w:r>
        <w:fldChar w:fldCharType="separate"/>
      </w:r>
      <w:r>
        <w:t>13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_Toc17548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2.1.2、 </w:t>
      </w:r>
      <w:r>
        <w:rPr>
          <w:rFonts w:hint="eastAsia"/>
        </w:rPr>
        <w:t>交易</w:t>
      </w:r>
      <w:r>
        <w:t>公告</w:t>
      </w:r>
      <w:r>
        <w:tab/>
      </w:r>
      <w:r>
        <w:fldChar w:fldCharType="begin"/>
      </w:r>
      <w:r>
        <w:instrText xml:space="preserve"> PAGEREF _Toc17548 </w:instrText>
      </w:r>
      <w:r>
        <w:fldChar w:fldCharType="separate"/>
      </w:r>
      <w:r>
        <w:t>15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_Toc27176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2.1.3、 </w:t>
      </w:r>
      <w:r>
        <w:rPr>
          <w:rFonts w:hint="eastAsia"/>
        </w:rPr>
        <w:t>变更公告</w:t>
      </w:r>
      <w:r>
        <w:tab/>
      </w:r>
      <w:r>
        <w:fldChar w:fldCharType="begin"/>
      </w:r>
      <w:r>
        <w:instrText xml:space="preserve"> PAGEREF _Toc27176 </w:instrText>
      </w:r>
      <w:r>
        <w:fldChar w:fldCharType="separate"/>
      </w:r>
      <w:r>
        <w:t>18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_Toc30157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2.1.4、 </w:t>
      </w:r>
      <w:r>
        <w:rPr>
          <w:rFonts w:hint="eastAsia"/>
        </w:rPr>
        <w:t>矿区报名查看</w:t>
      </w:r>
      <w:r>
        <w:tab/>
      </w:r>
      <w:r>
        <w:fldChar w:fldCharType="begin"/>
      </w:r>
      <w:r>
        <w:instrText xml:space="preserve"> PAGEREF _Toc30157 </w:instrText>
      </w:r>
      <w:r>
        <w:fldChar w:fldCharType="separate"/>
      </w:r>
      <w:r>
        <w:t>21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_Toc21793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2.1.5、 </w:t>
      </w:r>
      <w:r>
        <w:rPr>
          <w:rFonts w:hint="eastAsia"/>
        </w:rPr>
        <w:t>成交公告</w:t>
      </w:r>
      <w:r>
        <w:tab/>
      </w:r>
      <w:r>
        <w:fldChar w:fldCharType="begin"/>
      </w:r>
      <w:r>
        <w:instrText xml:space="preserve"> PAGEREF _Toc21793 </w:instrText>
      </w:r>
      <w:r>
        <w:fldChar w:fldCharType="separate"/>
      </w:r>
      <w:r>
        <w:t>23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_Toc2383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2.2、 </w:t>
      </w:r>
      <w:r>
        <w:rPr>
          <w:rFonts w:hint="eastAsia"/>
        </w:rPr>
        <w:t>电子竞价</w:t>
      </w:r>
      <w:r>
        <w:tab/>
      </w:r>
      <w:r>
        <w:fldChar w:fldCharType="begin"/>
      </w:r>
      <w:r>
        <w:instrText xml:space="preserve"> PAGEREF _Toc2383 </w:instrText>
      </w:r>
      <w:r>
        <w:fldChar w:fldCharType="separate"/>
      </w:r>
      <w:r>
        <w:t>27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_Toc11123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2.2.1、 </w:t>
      </w:r>
      <w:r>
        <w:rPr>
          <w:rFonts w:hint="eastAsia"/>
        </w:rPr>
        <w:t>设定竞价规则</w:t>
      </w:r>
      <w:r>
        <w:tab/>
      </w:r>
      <w:r>
        <w:fldChar w:fldCharType="begin"/>
      </w:r>
      <w:r>
        <w:instrText xml:space="preserve"> PAGEREF _Toc11123 </w:instrText>
      </w:r>
      <w:r>
        <w:fldChar w:fldCharType="separate"/>
      </w:r>
      <w:r>
        <w:t>27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_Toc10606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2.2.2、 </w:t>
      </w:r>
      <w:r>
        <w:rPr>
          <w:rFonts w:hint="eastAsia"/>
        </w:rPr>
        <w:t>竞价控制</w:t>
      </w:r>
      <w:r>
        <w:tab/>
      </w:r>
      <w:r>
        <w:fldChar w:fldCharType="begin"/>
      </w:r>
      <w:r>
        <w:instrText xml:space="preserve"> PAGEREF _Toc10606 </w:instrText>
      </w:r>
      <w:r>
        <w:fldChar w:fldCharType="separate"/>
      </w:r>
      <w:r>
        <w:t>32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_Toc24821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2.2.3、 </w:t>
      </w:r>
      <w:r>
        <w:rPr>
          <w:rFonts w:hint="eastAsia"/>
        </w:rPr>
        <w:t>报价历史记录</w:t>
      </w:r>
      <w:r>
        <w:tab/>
      </w:r>
      <w:r>
        <w:fldChar w:fldCharType="begin"/>
      </w:r>
      <w:r>
        <w:instrText xml:space="preserve"> PAGEREF _Toc24821 </w:instrText>
      </w:r>
      <w:r>
        <w:fldChar w:fldCharType="separate"/>
      </w:r>
      <w:r>
        <w:t>37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_Toc18920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2.2.4、 </w:t>
      </w:r>
      <w:r>
        <w:rPr>
          <w:rFonts w:hint="eastAsia"/>
        </w:rPr>
        <w:t>同步竞价结果</w:t>
      </w:r>
      <w:r>
        <w:tab/>
      </w:r>
      <w:r>
        <w:fldChar w:fldCharType="begin"/>
      </w:r>
      <w:r>
        <w:instrText xml:space="preserve"> PAGEREF _Toc18920 </w:instrText>
      </w:r>
      <w:r>
        <w:fldChar w:fldCharType="separate"/>
      </w:r>
      <w:r>
        <w:t>38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_Toc13481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14:ligatures w14:val="none"/>
          <w14:numForm w14:val="default"/>
          <w14:numSpacing w14:val="default"/>
        </w:rPr>
        <w:t xml:space="preserve">2.3、 </w:t>
      </w:r>
      <w:r>
        <w:rPr>
          <w:rFonts w:hint="eastAsia"/>
        </w:rPr>
        <w:t>矿区管理</w:t>
      </w:r>
      <w:r>
        <w:tab/>
      </w:r>
      <w:r>
        <w:fldChar w:fldCharType="begin"/>
      </w:r>
      <w:r>
        <w:instrText xml:space="preserve"> PAGEREF _Toc13481 </w:instrText>
      </w:r>
      <w:r>
        <w:fldChar w:fldCharType="separate"/>
      </w:r>
      <w:r>
        <w:t>40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_Toc18184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2.3.1、 </w:t>
      </w:r>
      <w:r>
        <w:rPr>
          <w:rFonts w:hint="eastAsia"/>
        </w:rPr>
        <w:t>矿区状态管理</w:t>
      </w:r>
      <w:r>
        <w:tab/>
      </w:r>
      <w:r>
        <w:fldChar w:fldCharType="begin"/>
      </w:r>
      <w:r>
        <w:instrText xml:space="preserve"> PAGEREF _Toc18184 </w:instrText>
      </w:r>
      <w:r>
        <w:fldChar w:fldCharType="separate"/>
      </w:r>
      <w:r>
        <w:t>40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_Toc3511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2.3.2、 </w:t>
      </w:r>
      <w:r>
        <w:rPr>
          <w:rFonts w:hint="eastAsia"/>
        </w:rPr>
        <w:t>保证金查询</w:t>
      </w:r>
      <w:r>
        <w:tab/>
      </w:r>
      <w:r>
        <w:fldChar w:fldCharType="begin"/>
      </w:r>
      <w:r>
        <w:instrText xml:space="preserve"> PAGEREF _Toc3511 </w:instrText>
      </w:r>
      <w:r>
        <w:fldChar w:fldCharType="separate"/>
      </w:r>
      <w:r>
        <w:t>42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_Toc7993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2.3.3、 </w:t>
      </w:r>
      <w:r>
        <w:rPr>
          <w:rFonts w:hint="eastAsia"/>
        </w:rPr>
        <w:t>统计报表</w:t>
      </w:r>
      <w:r>
        <w:tab/>
      </w:r>
      <w:r>
        <w:fldChar w:fldCharType="begin"/>
      </w:r>
      <w:r>
        <w:instrText xml:space="preserve"> PAGEREF _Toc7993 </w:instrText>
      </w:r>
      <w:r>
        <w:fldChar w:fldCharType="separate"/>
      </w:r>
      <w:r>
        <w:t>43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3"/>
        <w:ind w:firstLine="0" w:firstLineChars="0"/>
        <w:rPr>
          <w:b/>
        </w:rPr>
      </w:pPr>
    </w:p>
    <w:p>
      <w:pPr>
        <w:pStyle w:val="63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40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642"/>
        <w:gridCol w:w="937"/>
        <w:gridCol w:w="314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9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9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9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9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9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9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9"/>
              <w:jc w:val="center"/>
            </w:pPr>
            <w:r>
              <w:t>7.</w:t>
            </w:r>
            <w:r>
              <w:rPr>
                <w:rFonts w:hint="eastAsia"/>
              </w:rPr>
              <w:t>1.3</w:t>
            </w:r>
            <w:r>
              <w:t>0.</w:t>
            </w:r>
            <w:r>
              <w:rPr>
                <w:rFonts w:hint="eastAsia"/>
              </w:rPr>
              <w:t>2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9"/>
            </w:pPr>
            <w:r>
              <w:rPr>
                <w:rFonts w:hint="eastAsia"/>
              </w:rPr>
              <w:t>2018-8-25</w:t>
            </w:r>
          </w:p>
        </w:tc>
        <w:tc>
          <w:tcPr>
            <w:tcW w:w="1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9"/>
            </w:pPr>
            <w:r>
              <w:rPr>
                <w:rFonts w:hint="eastAsia"/>
              </w:rPr>
              <w:t>编写操作手册</w:t>
            </w:r>
          </w:p>
        </w:tc>
        <w:tc>
          <w:tcPr>
            <w:tcW w:w="9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9"/>
            </w:pPr>
            <w:r>
              <w:rPr>
                <w:rFonts w:hint="eastAsia"/>
              </w:rPr>
              <w:t>蒋成龙</w:t>
            </w:r>
          </w:p>
        </w:tc>
        <w:tc>
          <w:tcPr>
            <w:tcW w:w="3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9"/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  <w:r>
              <w:t>7.</w:t>
            </w:r>
            <w:r>
              <w:rPr>
                <w:rFonts w:hint="eastAsia"/>
              </w:rPr>
              <w:t>1.3</w:t>
            </w:r>
            <w:r>
              <w:t>0.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  <w:r>
              <w:rPr>
                <w:rFonts w:hint="eastAsia"/>
              </w:rPr>
              <w:t>20</w:t>
            </w:r>
            <w:r>
              <w:rPr>
                <w:rFonts w:hint="eastAsia"/>
                <w:lang w:val="en-US" w:eastAsia="zh-CN"/>
              </w:rPr>
              <w:t>21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-2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　</w:t>
            </w:r>
          </w:p>
        </w:tc>
        <w:tc>
          <w:tcPr>
            <w:tcW w:w="1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  <w:r>
              <w:rPr>
                <w:rFonts w:hint="eastAsia"/>
              </w:rPr>
              <w:t>编写操作手册</w:t>
            </w:r>
          </w:p>
        </w:tc>
        <w:tc>
          <w:tcPr>
            <w:tcW w:w="9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  <w:r>
              <w:rPr>
                <w:rFonts w:hint="eastAsia"/>
                <w:lang w:val="en-US" w:eastAsia="zh-CN"/>
              </w:rPr>
              <w:t>王珑</w:t>
            </w:r>
            <w:r>
              <w:rPr>
                <w:rFonts w:hint="eastAsia"/>
              </w:rPr>
              <w:t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9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6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9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</w:tbl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61"/>
        <w:spacing w:line="240" w:lineRule="auto"/>
        <w:ind w:firstLine="360"/>
      </w:pPr>
    </w:p>
    <w:p>
      <w:pPr>
        <w:pStyle w:val="2"/>
      </w:pPr>
      <w:bookmarkStart w:id="0" w:name="_Toc346183627"/>
      <w:bookmarkStart w:id="1" w:name="_Toc7810"/>
      <w:bookmarkStart w:id="2" w:name="_Toc346701609"/>
      <w:bookmarkStart w:id="3" w:name="_Toc475978914"/>
      <w:bookmarkStart w:id="4" w:name="_Toc24709"/>
      <w:bookmarkStart w:id="5" w:name="_Toc24650"/>
      <w:bookmarkStart w:id="6" w:name="_Toc346183639"/>
      <w:bookmarkStart w:id="7" w:name="_Toc346701621"/>
      <w:bookmarkStart w:id="8" w:name="_Toc1145"/>
      <w:bookmarkStart w:id="9" w:name="_Toc475978926"/>
      <w:bookmarkStart w:id="10" w:name="_Toc371"/>
      <w:bookmarkStart w:id="11" w:name="_Toc11391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12" w:name="_Toc16935"/>
      <w:bookmarkStart w:id="13" w:name="_Toc14908"/>
      <w:bookmarkStart w:id="14" w:name="_Toc346701610"/>
      <w:bookmarkStart w:id="15" w:name="_Toc9296"/>
      <w:bookmarkStart w:id="16" w:name="_Toc475978915"/>
      <w:bookmarkStart w:id="17" w:name="_Toc346183628"/>
      <w:r>
        <w:t>驱动安装说明</w:t>
      </w:r>
      <w:bookmarkEnd w:id="12"/>
      <w:bookmarkEnd w:id="13"/>
      <w:bookmarkEnd w:id="14"/>
      <w:bookmarkEnd w:id="15"/>
      <w:bookmarkEnd w:id="16"/>
      <w:bookmarkEnd w:id="17"/>
    </w:p>
    <w:p>
      <w:pPr>
        <w:pStyle w:val="4"/>
      </w:pPr>
      <w:bookmarkStart w:id="18" w:name="_Toc30779"/>
      <w:bookmarkStart w:id="19" w:name="_Toc475978916"/>
      <w:bookmarkStart w:id="20" w:name="_Toc8628"/>
      <w:bookmarkStart w:id="21" w:name="_Toc346183629"/>
      <w:bookmarkStart w:id="22" w:name="_Toc346701611"/>
      <w:bookmarkStart w:id="23" w:name="_Toc16026"/>
      <w:r>
        <w:t>安装驱动程序</w:t>
      </w:r>
      <w:bookmarkEnd w:id="18"/>
      <w:bookmarkEnd w:id="19"/>
      <w:bookmarkEnd w:id="20"/>
      <w:bookmarkEnd w:id="21"/>
      <w:bookmarkEnd w:id="22"/>
      <w:bookmarkEnd w:id="23"/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1、双击安装程序</w:t>
      </w:r>
      <w:r>
        <w:drawing>
          <wp:inline distT="0" distB="0" distL="114300" distR="114300">
            <wp:extent cx="922020" cy="1120140"/>
            <wp:effectExtent l="0" t="0" r="7620" b="762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，进入安装页面。</w:t>
      </w:r>
    </w:p>
    <w:p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drawing>
          <wp:inline distT="0" distB="0" distL="114300" distR="114300">
            <wp:extent cx="5274945" cy="3959860"/>
            <wp:effectExtent l="0" t="0" r="13335" b="254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注：在安装驱动之前，请确保所有浏览器均已关闭。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2、选中协议，点击“自定义安装”，打开安装目录位置。</w:t>
      </w:r>
    </w:p>
    <w:p>
      <w:pPr>
        <w:ind w:firstLine="0" w:firstLineChars="0"/>
      </w:pPr>
      <w:r>
        <w:drawing>
          <wp:inline distT="0" distB="0" distL="114300" distR="114300">
            <wp:extent cx="5274945" cy="3959860"/>
            <wp:effectExtent l="0" t="0" r="13335" b="254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如果不点击“自定义安装”，点击“快速安装”按钮，则直接开始安装驱动，安装位置默认。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3、选择需要安装的目录，点击“立即安装”按钮，开始安装驱动。</w:t>
      </w:r>
    </w:p>
    <w:p>
      <w:pPr>
        <w:ind w:firstLine="0" w:firstLineChars="0"/>
      </w:pPr>
      <w:r>
        <w:drawing>
          <wp:inline distT="0" distB="0" distL="114300" distR="114300">
            <wp:extent cx="5268595" cy="3569335"/>
            <wp:effectExtent l="0" t="0" r="4445" b="1206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b="96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4、驱动安装完成后，打开完成界面。</w:t>
      </w:r>
    </w:p>
    <w:p>
      <w:pPr>
        <w:ind w:firstLine="0" w:firstLineChars="0"/>
      </w:pPr>
      <w:r>
        <w:drawing>
          <wp:inline distT="0" distB="0" distL="114300" distR="114300">
            <wp:extent cx="5274945" cy="3959860"/>
            <wp:effectExtent l="0" t="0" r="13335" b="254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1"/>
        <w:ind w:firstLine="0" w:firstLineChars="0"/>
        <w:jc w:val="center"/>
        <w:rPr>
          <w:b/>
          <w:spacing w:val="4"/>
          <w:sz w:val="21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5、点击“完成”按钮，驱动安装成功，桌面显示图标</w:t>
      </w:r>
      <w:r>
        <w:drawing>
          <wp:inline distT="0" distB="0" distL="114300" distR="114300">
            <wp:extent cx="876300" cy="1150620"/>
            <wp:effectExtent l="0" t="0" r="7620" b="762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。</w:t>
      </w:r>
    </w:p>
    <w:p>
      <w:pPr>
        <w:pStyle w:val="61"/>
        <w:ind w:firstLine="0" w:firstLineChars="0"/>
        <w:rPr>
          <w:b/>
          <w:spacing w:val="4"/>
        </w:rPr>
      </w:pPr>
    </w:p>
    <w:p>
      <w:pPr>
        <w:pStyle w:val="61"/>
        <w:ind w:firstLine="0" w:firstLineChars="0"/>
        <w:rPr>
          <w:b/>
          <w:spacing w:val="4"/>
        </w:rPr>
      </w:pPr>
    </w:p>
    <w:p>
      <w:pPr>
        <w:pStyle w:val="3"/>
      </w:pPr>
      <w:bookmarkStart w:id="24" w:name="_Toc346183633"/>
      <w:bookmarkStart w:id="25" w:name="_Toc346701615"/>
      <w:bookmarkStart w:id="26" w:name="_Toc475978920"/>
      <w:bookmarkStart w:id="27" w:name="_Toc3808"/>
      <w:bookmarkStart w:id="28" w:name="_Toc19422"/>
      <w:bookmarkStart w:id="29" w:name="_Toc8049"/>
      <w:r>
        <w:t>检测工具</w:t>
      </w:r>
      <w:bookmarkEnd w:id="24"/>
      <w:bookmarkEnd w:id="25"/>
      <w:bookmarkEnd w:id="26"/>
      <w:bookmarkEnd w:id="27"/>
      <w:bookmarkEnd w:id="28"/>
      <w:bookmarkEnd w:id="29"/>
    </w:p>
    <w:p>
      <w:pPr>
        <w:pStyle w:val="4"/>
        <w:ind w:left="1072" w:hanging="1072"/>
      </w:pPr>
      <w:bookmarkStart w:id="30" w:name="_Toc30193"/>
      <w:bookmarkStart w:id="31" w:name="_Toc346701616"/>
      <w:bookmarkStart w:id="32" w:name="_Toc8386"/>
      <w:bookmarkStart w:id="33" w:name="_Toc475978921"/>
      <w:bookmarkStart w:id="34" w:name="_Toc346183634"/>
      <w:bookmarkStart w:id="35" w:name="_Toc6228"/>
      <w:r>
        <w:t>启动检测工具</w:t>
      </w:r>
      <w:bookmarkEnd w:id="30"/>
      <w:bookmarkEnd w:id="31"/>
      <w:bookmarkEnd w:id="32"/>
      <w:bookmarkEnd w:id="33"/>
      <w:bookmarkEnd w:id="34"/>
      <w:bookmarkEnd w:id="35"/>
    </w:p>
    <w:p>
      <w:r>
        <w:t>用户可以点击桌面上的新点检测工具图标来启动检测工具。</w:t>
      </w:r>
    </w:p>
    <w:p>
      <w:pPr>
        <w:pStyle w:val="61"/>
        <w:ind w:firstLine="0" w:firstLineChars="0"/>
        <w:jc w:val="center"/>
        <w:rPr>
          <w:b/>
          <w:spacing w:val="4"/>
        </w:rPr>
      </w:pPr>
    </w:p>
    <w:p>
      <w:pPr>
        <w:pStyle w:val="61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36" w:name="_Toc475978922"/>
      <w:bookmarkStart w:id="37" w:name="_Toc27581"/>
      <w:bookmarkStart w:id="38" w:name="_Toc346183635"/>
      <w:bookmarkStart w:id="39" w:name="_Toc17294"/>
      <w:bookmarkStart w:id="40" w:name="_Toc17277"/>
      <w:bookmarkStart w:id="41" w:name="_Toc346701617"/>
      <w:r>
        <w:t>系统检测</w:t>
      </w:r>
      <w:bookmarkEnd w:id="36"/>
      <w:bookmarkEnd w:id="37"/>
      <w:bookmarkEnd w:id="38"/>
      <w:bookmarkEnd w:id="39"/>
      <w:bookmarkEnd w:id="40"/>
      <w:bookmarkEnd w:id="41"/>
    </w:p>
    <w:p>
      <w:pPr>
        <w:pStyle w:val="61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0500" cy="3325495"/>
            <wp:effectExtent l="0" t="0" r="2540" b="1206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该页面主要是进行可信任站点的设置。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如果没有设置成功，请点击</w:t>
      </w:r>
      <w:r>
        <w:rPr>
          <w:rFonts w:hint="eastAsia" w:ascii="宋体" w:hAnsi="宋体" w:eastAsia="宋体" w:cs="宋体"/>
          <w:lang w:val="en-US" w:eastAsia="zh-CN"/>
        </w:rPr>
        <w:t>设置</w:t>
      </w:r>
      <w:r>
        <w:rPr>
          <w:rFonts w:hint="eastAsia" w:ascii="宋体" w:hAnsi="宋体" w:eastAsia="宋体" w:cs="宋体"/>
        </w:rPr>
        <w:t>按钮即可。</w:t>
      </w:r>
    </w:p>
    <w:p>
      <w:pPr>
        <w:ind w:firstLine="436"/>
        <w:rPr>
          <w:spacing w:val="4"/>
        </w:rPr>
      </w:pPr>
    </w:p>
    <w:p>
      <w:pPr>
        <w:pStyle w:val="4"/>
        <w:ind w:left="1072" w:hanging="1072"/>
      </w:pPr>
      <w:bookmarkStart w:id="42" w:name="_Toc475978923"/>
      <w:bookmarkStart w:id="43" w:name="_Toc346701618"/>
      <w:bookmarkStart w:id="44" w:name="_Toc226"/>
      <w:bookmarkStart w:id="45" w:name="_Toc22012"/>
      <w:bookmarkStart w:id="46" w:name="_Toc14884"/>
      <w:bookmarkStart w:id="47" w:name="_Toc346183636"/>
      <w:r>
        <w:t>控件检测</w:t>
      </w:r>
      <w:bookmarkEnd w:id="42"/>
      <w:bookmarkEnd w:id="43"/>
      <w:bookmarkEnd w:id="44"/>
      <w:bookmarkEnd w:id="45"/>
      <w:bookmarkEnd w:id="46"/>
      <w:bookmarkEnd w:id="47"/>
    </w:p>
    <w:p>
      <w:pPr>
        <w:jc w:val="center"/>
      </w:pPr>
      <w:r>
        <w:drawing>
          <wp:inline distT="0" distB="0" distL="114300" distR="114300">
            <wp:extent cx="5270500" cy="3325495"/>
            <wp:effectExtent l="0" t="0" r="2540" b="1206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如果以上都是打勾，系统所需要控件都安装完毕了。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其中证书Key驱动，需要把您的证书Key插好以后才可以检测出来。</w:t>
      </w:r>
    </w:p>
    <w:p>
      <w:pPr>
        <w:pStyle w:val="61"/>
        <w:ind w:firstLine="0" w:firstLineChars="0"/>
        <w:jc w:val="center"/>
        <w:rPr>
          <w:b/>
          <w:spacing w:val="4"/>
          <w:sz w:val="21"/>
        </w:rPr>
      </w:pPr>
    </w:p>
    <w:p>
      <w:pPr>
        <w:pStyle w:val="4"/>
        <w:ind w:left="1072" w:hanging="1072"/>
      </w:pPr>
      <w:bookmarkStart w:id="48" w:name="_Toc18929"/>
      <w:bookmarkStart w:id="49" w:name="_Toc346701619"/>
      <w:bookmarkStart w:id="50" w:name="_Toc27964"/>
      <w:bookmarkStart w:id="51" w:name="_Toc346183637"/>
      <w:bookmarkStart w:id="52" w:name="_Toc20940"/>
      <w:bookmarkStart w:id="53" w:name="_Toc475978924"/>
      <w:r>
        <w:t>证书检测</w:t>
      </w:r>
      <w:bookmarkEnd w:id="48"/>
      <w:bookmarkEnd w:id="49"/>
      <w:bookmarkEnd w:id="50"/>
      <w:bookmarkEnd w:id="51"/>
      <w:bookmarkEnd w:id="52"/>
      <w:bookmarkEnd w:id="53"/>
    </w:p>
    <w:p>
      <w:pPr>
        <w:pStyle w:val="61"/>
        <w:ind w:firstLine="0" w:firstLineChars="0"/>
        <w:jc w:val="center"/>
        <w:rPr>
          <w:b/>
          <w:spacing w:val="4"/>
          <w:sz w:val="21"/>
        </w:rPr>
      </w:pPr>
      <w:r>
        <w:drawing>
          <wp:inline distT="0" distB="0" distL="114300" distR="114300">
            <wp:extent cx="5270500" cy="3325495"/>
            <wp:effectExtent l="0" t="0" r="2540" b="1206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用户可以点击“立即检测”按钮，选择证书，点击“确定”按钮，输入口令，可以检测该证书Key是否可以正常使用。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如果“证书检测结果”中</w:t>
      </w:r>
      <w:r>
        <w:rPr>
          <w:rFonts w:hint="eastAsia" w:ascii="宋体" w:hAnsi="宋体" w:eastAsia="宋体" w:cs="宋体"/>
          <w:lang w:val="en-US" w:eastAsia="zh-CN"/>
        </w:rPr>
        <w:t>显示证书状态正常</w:t>
      </w:r>
      <w:r>
        <w:rPr>
          <w:rFonts w:hint="eastAsia" w:ascii="宋体" w:hAnsi="宋体" w:eastAsia="宋体" w:cs="宋体"/>
        </w:rPr>
        <w:t>，则表示您的证书Key是可以正常使用的，如下图：</w:t>
      </w:r>
    </w:p>
    <w:p>
      <w:pPr>
        <w:pStyle w:val="61"/>
        <w:ind w:firstLine="0" w:firstLineChars="0"/>
        <w:jc w:val="center"/>
      </w:pPr>
      <w:r>
        <w:drawing>
          <wp:inline distT="0" distB="0" distL="114300" distR="114300">
            <wp:extent cx="5270500" cy="3325495"/>
            <wp:effectExtent l="0" t="0" r="2540" b="1206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4" w:name="_Toc20599"/>
      <w:r>
        <w:t>浏览器配置</w:t>
      </w:r>
      <w:bookmarkEnd w:id="6"/>
      <w:bookmarkEnd w:id="7"/>
      <w:bookmarkEnd w:id="8"/>
      <w:bookmarkEnd w:id="9"/>
      <w:bookmarkEnd w:id="10"/>
      <w:bookmarkEnd w:id="11"/>
      <w:bookmarkEnd w:id="54"/>
    </w:p>
    <w:p>
      <w:pPr>
        <w:pStyle w:val="4"/>
        <w:ind w:left="1072" w:hanging="1072"/>
      </w:pPr>
      <w:bookmarkStart w:id="55" w:name="_Toc17379"/>
      <w:bookmarkStart w:id="56" w:name="_Toc14552"/>
      <w:bookmarkStart w:id="57" w:name="_Toc346183640"/>
      <w:bookmarkStart w:id="58" w:name="_Toc30975"/>
      <w:bookmarkStart w:id="59" w:name="_Toc27375"/>
      <w:bookmarkStart w:id="60" w:name="_Toc346701622"/>
      <w:bookmarkStart w:id="61" w:name="_Toc475978927"/>
      <w:r>
        <w:t>Internet选项</w:t>
      </w:r>
      <w:bookmarkEnd w:id="55"/>
      <w:bookmarkEnd w:id="56"/>
      <w:bookmarkEnd w:id="57"/>
      <w:bookmarkEnd w:id="58"/>
      <w:bookmarkEnd w:id="59"/>
      <w:bookmarkEnd w:id="60"/>
      <w:bookmarkEnd w:id="61"/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为了让系统插件能够正常工作，请按照以下步骤进行浏览器的配置。</w:t>
      </w:r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1、打开浏览器，在“工具”菜单→“Internet选项”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2、弹出对话框之后，请选择“安全”选项卡，具体的界面如下图：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Theme="minorEastAsia" w:hAnsiTheme="minorEastAsia" w:eastAsiaTheme="minorEastAsia" w:cstheme="minorEastAsia"/>
        </w:rPr>
        <w:t>3、点击绿色的“受信任的站点”的图片，会看到如下图所示的界面</w:t>
      </w:r>
      <w:r>
        <w:t>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4、点击“站点” 按钮，出现如下对话框：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0" t="0" r="9525" b="0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输入系统服务器的IP地址，格式例如：192.168.0.123，然后点击“添加”按钮完成添加，再按“关闭”按钮退出。</w:t>
      </w:r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5、设置自定义安全级别，开放Activex的访问权限：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会出现一个窗口，把其中的Activex控件和插件的设置全部改为启用。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s1058" o:spid="_x0000_s1058" o:spt="62" type="#_x0000_t62" style="position:absolute;left:0pt;margin-left:162pt;margin-top:78pt;height:24.6pt;width:156.6pt;z-index:251668480;mso-width-relative:page;mso-height-relative:page;" stroked="t" coordsize="21600,21600" adj="-1448,8824">
            <v:path/>
            <v:fill focussize="0,0"/>
            <v:stroke weight="1.5pt" color="#FF0000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选择启用（共5个ActiveX）</w:t>
                  </w:r>
                </w:p>
              </w:txbxContent>
            </v:textbox>
          </v:shape>
        </w:pict>
      </w:r>
      <w:r>
        <w:rPr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文件下载设置，开放文件下载的权限：设置为启用。</w:t>
      </w:r>
    </w:p>
    <w:p>
      <w:pPr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pStyle w:val="4"/>
        <w:ind w:left="1072" w:hanging="1072"/>
      </w:pPr>
      <w:bookmarkStart w:id="62" w:name="_Toc475978928"/>
      <w:bookmarkStart w:id="63" w:name="_Toc25086"/>
      <w:bookmarkStart w:id="64" w:name="_Toc346183641"/>
      <w:bookmarkStart w:id="65" w:name="_Toc346701623"/>
      <w:bookmarkStart w:id="66" w:name="_Toc29897"/>
      <w:bookmarkStart w:id="67" w:name="_Toc13653"/>
      <w:bookmarkStart w:id="68" w:name="_Toc29991"/>
      <w:r>
        <w:t>关闭拦截工具</w:t>
      </w:r>
      <w:bookmarkEnd w:id="62"/>
      <w:bookmarkEnd w:id="63"/>
      <w:bookmarkEnd w:id="64"/>
      <w:bookmarkEnd w:id="65"/>
      <w:bookmarkEnd w:id="66"/>
      <w:bookmarkEnd w:id="67"/>
      <w:bookmarkEnd w:id="68"/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上述操作完成后，如果系统中某些功能仍不能使用，请将拦截工具关闭再试用。比如在windows工具栏中关闭弹出窗口阻止程序的操作：</w:t>
      </w:r>
    </w:p>
    <w:p>
      <w:pPr>
        <w:ind w:firstLine="0" w:firstLineChars="0"/>
        <w:jc w:val="center"/>
        <w:rPr>
          <w:spacing w:val="4"/>
        </w:rPr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pStyle w:val="2"/>
      </w:pPr>
      <w:bookmarkStart w:id="69" w:name="_Toc12441"/>
      <w:r>
        <w:rPr>
          <w:rFonts w:hint="eastAsia"/>
        </w:rPr>
        <w:t>矿权交易</w:t>
      </w:r>
      <w:bookmarkEnd w:id="69"/>
    </w:p>
    <w:p>
      <w:r>
        <w:rPr>
          <w:rFonts w:hint="eastAsia"/>
        </w:rPr>
        <w:t>1、</w:t>
      </w:r>
      <w:r>
        <w:t>打开</w:t>
      </w:r>
      <w:r>
        <w:rPr>
          <w:rFonts w:hint="eastAsia"/>
        </w:rPr>
        <w:t>“新点电子招投标交易平台”，如下图：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2、输入用户名和密码后，点击“登录”按钮，进入系统；如下图：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0" w:name="_Toc21474"/>
      <w:r>
        <w:rPr>
          <w:rFonts w:hint="eastAsia"/>
        </w:rPr>
        <w:t>项目管理</w:t>
      </w:r>
      <w:bookmarkEnd w:id="70"/>
    </w:p>
    <w:p>
      <w:pPr>
        <w:pStyle w:val="4"/>
      </w:pPr>
      <w:bookmarkStart w:id="71" w:name="_Toc32108"/>
      <w:bookmarkStart w:id="72" w:name="_Toc346701641"/>
      <w:bookmarkStart w:id="73" w:name="_Toc1033"/>
      <w:bookmarkStart w:id="74" w:name="_Toc1934"/>
      <w:r>
        <w:rPr>
          <w:rFonts w:hint="eastAsia"/>
        </w:rPr>
        <w:t>新增矿区</w:t>
      </w:r>
      <w:bookmarkEnd w:id="71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  <w:r>
        <w:rPr>
          <w:rFonts w:hint="eastAsia" w:ascii="宋体" w:hAnsi="宋体"/>
        </w:rPr>
        <w:t>。</w:t>
      </w:r>
    </w:p>
    <w:p>
      <w:pPr>
        <w:ind w:firstLine="422"/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t>新</w:t>
      </w:r>
      <w:r>
        <w:rPr>
          <w:rFonts w:hint="eastAsia"/>
        </w:rPr>
        <w:t>增矿区。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r>
        <w:rPr>
          <w:rFonts w:hint="eastAsia"/>
        </w:rPr>
        <w:t>1、点击“矿权交易－项目管理－新增矿区”菜单，进入矿区列表页面，如下图：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2、点击“新增矿区”按钮，进入新增矿区信息页面，如下图：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2450465"/>
            <wp:effectExtent l="0" t="0" r="4445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</w:t>
      </w:r>
    </w:p>
    <w:p>
      <w:r>
        <w:rPr>
          <w:rFonts w:hint="eastAsia"/>
        </w:rPr>
        <w:t>①挂牌/拍卖开始时间、挂牌/拍卖截止时间为自由竞价时间，设置竞价规则时会自动读取此处数据；</w:t>
      </w:r>
    </w:p>
    <w:p>
      <w:r>
        <w:rPr>
          <w:rFonts w:hint="eastAsia"/>
        </w:rPr>
        <w:t>②人工资格审核，选择需要，则竞买人报名时需要在地块申购审查中进行资格审查，选择不需要，则无需此操作；</w:t>
      </w:r>
    </w:p>
    <w:p>
      <w:r>
        <w:rPr>
          <w:rFonts w:hint="eastAsia"/>
        </w:rPr>
        <w:t>③矿区类别选择不同时，页面填写内容会有区别，但不影响流程。</w:t>
      </w:r>
    </w:p>
    <w:p>
      <w:r>
        <w:rPr>
          <w:rFonts w:hint="eastAsia"/>
        </w:rPr>
        <w:t>3、填写页面信息，点击“确认保存”按钮，新增矿区成功，直接显示在矿区列表页面，如下图：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2459990"/>
            <wp:effectExtent l="0" t="0" r="3175" b="165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4、矿区列表页面上，点击“修改”按钮，可修改该矿区信息，如下图：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5、矿区列表页面上，点击“查看”按钮，可查看该矿区信息，如下图：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6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5" w:name="_Toc17548"/>
      <w:r>
        <w:rPr>
          <w:rFonts w:hint="eastAsia"/>
        </w:rPr>
        <w:t>交易</w:t>
      </w:r>
      <w:r>
        <w:t>公告</w:t>
      </w:r>
      <w:bookmarkEnd w:id="72"/>
      <w:bookmarkEnd w:id="73"/>
      <w:bookmarkEnd w:id="74"/>
      <w:bookmarkEnd w:id="75"/>
    </w:p>
    <w:p>
      <w:pPr>
        <w:ind w:firstLine="422"/>
        <w:rPr>
          <w:b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</w:rPr>
        <w:t>新增矿区成功。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编制矿区的交易公告信息。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</w:t>
      </w:r>
      <w:r>
        <w:t>菜单</w:t>
      </w:r>
      <w:r>
        <w:rPr>
          <w:rFonts w:hint="eastAsia" w:asciiTheme="minorEastAsia" w:hAnsiTheme="minorEastAsia" w:eastAsiaTheme="minorEastAsia" w:cstheme="minorEastAsia"/>
        </w:rPr>
        <w:t>“矿区</w:t>
      </w:r>
      <w:r>
        <w:rPr>
          <w:rFonts w:hint="eastAsia"/>
        </w:rPr>
        <w:t>交易—项目管理—交易</w:t>
      </w:r>
      <w:r>
        <w:t>公告</w:t>
      </w:r>
      <w:r>
        <w:rPr>
          <w:rFonts w:hint="eastAsia" w:asciiTheme="minorEastAsia" w:hAnsiTheme="minorEastAsia" w:eastAsiaTheme="minorEastAsia" w:cstheme="minorEastAsia"/>
        </w:rPr>
        <w:t>”</w:t>
      </w:r>
      <w:r>
        <w:t>，</w:t>
      </w:r>
      <w:r>
        <w:rPr>
          <w:rFonts w:hint="eastAsia"/>
        </w:rPr>
        <w:t>进入交易公告列表页面</w:t>
      </w:r>
      <w:r>
        <w:t>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7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“新增交易公告”</w:t>
      </w:r>
      <w:r>
        <w:t>按钮，进入</w:t>
      </w:r>
      <w:r>
        <w:rPr>
          <w:rFonts w:hint="eastAsia"/>
        </w:rPr>
        <w:t>挑选矿区</w:t>
      </w:r>
      <w:r>
        <w:t>页面</w:t>
      </w:r>
      <w:r>
        <w:rPr>
          <w:rFonts w:hint="eastAsia"/>
        </w:rPr>
        <w:t>，如下图：</w:t>
      </w:r>
    </w:p>
    <w:p>
      <w:pPr>
        <w:ind w:firstLine="0" w:firstLineChars="0"/>
        <w:rPr>
          <w:b/>
        </w:rPr>
      </w:pPr>
      <w:r>
        <w:drawing>
          <wp:inline distT="0" distB="0" distL="114300" distR="114300">
            <wp:extent cx="5266690" cy="2553970"/>
            <wp:effectExtent l="0" t="0" r="6350" b="635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3、选择矿区并点击“确定选择”按钮，进入“新增交易公告”页面，如下图：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2367915"/>
            <wp:effectExtent l="0" t="0" r="0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rcRect b="38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</w:t>
      </w:r>
      <w:r>
        <w:t>输入</w:t>
      </w:r>
      <w:r>
        <w:rPr>
          <w:rFonts w:hint="eastAsia"/>
        </w:rPr>
        <w:t>页面</w:t>
      </w:r>
      <w:r>
        <w:t>信息后，点击</w:t>
      </w:r>
      <w:r>
        <w:rPr>
          <w:rFonts w:hint="eastAsia"/>
        </w:rPr>
        <w:t>“提交信息”</w:t>
      </w:r>
      <w:r>
        <w:t>按钮</w:t>
      </w:r>
      <w:r>
        <w:rPr>
          <w:rFonts w:hint="eastAsia"/>
        </w:rPr>
        <w:t>，直接审核通过，如下图：</w:t>
      </w:r>
      <w:r>
        <w:drawing>
          <wp:inline distT="0" distB="0" distL="114300" distR="114300">
            <wp:extent cx="5269865" cy="2468245"/>
            <wp:effectExtent l="0" t="0" r="6985" b="825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</w:t>
      </w:r>
      <w:r>
        <w:rPr>
          <w:rFonts w:hint="eastAsia"/>
          <w:color w:val="000000" w:themeColor="text1"/>
        </w:rPr>
        <w:t>公告截止日期不能早于公告发布日期，公告开始日期必须早于保证金截止时间，公告截止日期必须晚于保证金截止时间。</w:t>
      </w:r>
    </w:p>
    <w:p>
      <w:r>
        <w:rPr>
          <w:rFonts w:hint="eastAsia"/>
        </w:rPr>
        <w:t>5、“编辑中”筛选条件下，点击“操作”按钮，进入“修改交易公告”页面，可对交易公告进行修改，如下图：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6、交易公告列表页面上，选中要删除的交易公告，点击“删除交易公告”按钮，可删除交易公告信息，如下图：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8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6" w:name="_Toc27176"/>
      <w:r>
        <w:rPr>
          <w:rFonts w:hint="eastAsia"/>
        </w:rPr>
        <w:t>变更公告</w:t>
      </w:r>
      <w:bookmarkEnd w:id="76"/>
    </w:p>
    <w:p>
      <w:pPr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交易公告审核通过。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编制矿权项目的变更公告信息。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</w:t>
      </w:r>
      <w:r>
        <w:rPr>
          <w:rFonts w:hint="eastAsia" w:asciiTheme="minorEastAsia" w:hAnsiTheme="minorEastAsia" w:eastAsiaTheme="minorEastAsia" w:cstheme="minorEastAsia"/>
        </w:rPr>
        <w:t>“矿权交易—项目管理—变更公告”</w:t>
      </w:r>
      <w:r>
        <w:t>菜单，</w:t>
      </w:r>
      <w:r>
        <w:rPr>
          <w:rFonts w:hint="eastAsia"/>
        </w:rPr>
        <w:t>进入变更公告列表页面</w:t>
      </w:r>
      <w:r>
        <w:t>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8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“新增变更公告”</w:t>
      </w:r>
      <w:r>
        <w:t>按钮，进入</w:t>
      </w:r>
      <w:r>
        <w:rPr>
          <w:rFonts w:hint="eastAsia"/>
        </w:rPr>
        <w:t>项目选择</w:t>
      </w:r>
      <w:r>
        <w:t>页面</w:t>
      </w:r>
      <w:r>
        <w:rPr>
          <w:rFonts w:hint="eastAsia"/>
        </w:rPr>
        <w:t>，如下图：</w:t>
      </w:r>
    </w:p>
    <w:p>
      <w:pPr>
        <w:ind w:firstLine="0" w:firstLineChars="0"/>
        <w:rPr>
          <w:b/>
        </w:rPr>
      </w:pPr>
      <w:r>
        <w:drawing>
          <wp:inline distT="0" distB="0" distL="114300" distR="114300">
            <wp:extent cx="5269865" cy="2464435"/>
            <wp:effectExtent l="0" t="0" r="6985" b="1206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3、选择项目，</w:t>
      </w:r>
      <w:r>
        <w:t>点击</w:t>
      </w:r>
      <w:r>
        <w:rPr>
          <w:rFonts w:hint="eastAsia"/>
        </w:rPr>
        <w:t>“确认选择”</w:t>
      </w:r>
      <w:r>
        <w:t>按钮，</w:t>
      </w:r>
      <w:r>
        <w:rPr>
          <w:rFonts w:hint="eastAsia"/>
        </w:rPr>
        <w:t>进入新增变更公告页面，如下图：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2468245"/>
            <wp:effectExtent l="0" t="0" r="3175" b="8255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4、填写页面</w:t>
      </w:r>
      <w:r>
        <w:t>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“提交信息”</w:t>
      </w:r>
      <w:r>
        <w:t>按钮，</w:t>
      </w:r>
      <w:r>
        <w:rPr>
          <w:rFonts w:hint="eastAsia"/>
        </w:rPr>
        <w:t>直接</w:t>
      </w:r>
      <w:r>
        <w:t>审核</w:t>
      </w:r>
      <w:r>
        <w:rPr>
          <w:rFonts w:hint="eastAsia"/>
        </w:rPr>
        <w:t>通过，如下图：</w:t>
      </w:r>
      <w:r>
        <w:drawing>
          <wp:inline distT="0" distB="0" distL="114300" distR="114300">
            <wp:extent cx="5265420" cy="2459990"/>
            <wp:effectExtent l="0" t="0" r="11430" b="1651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注：公告发布时间会变更交易公告中的公告开始/截止日期。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8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注：变更公告可多次新增，前提是上一次变更公告已审核通过。</w:t>
      </w:r>
    </w:p>
    <w:p>
      <w:r>
        <w:rPr>
          <w:rFonts w:hint="eastAsia"/>
        </w:rPr>
        <w:t>5、“编辑中”筛选条件下，点击“操作”按钮，进入“修改变更公告”页面，可对变更公告进行修改，如下图：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8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6、变更公告列表页面上，选中要删除的变更公告，点击“删除变更公告”按钮，可删除变更公告信息，如下图：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8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pStyle w:val="4"/>
      </w:pPr>
      <w:bookmarkStart w:id="77" w:name="_Toc30157"/>
      <w:r>
        <w:rPr>
          <w:rFonts w:hint="eastAsia"/>
        </w:rPr>
        <w:t>矿区报名查看</w:t>
      </w:r>
      <w:bookmarkEnd w:id="77"/>
    </w:p>
    <w:p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交易公告审核通过。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查看矿区报名相关信息。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</w:t>
      </w:r>
      <w:r>
        <w:rPr>
          <w:rFonts w:hint="eastAsia" w:asciiTheme="minorEastAsia" w:hAnsiTheme="minorEastAsia" w:eastAsiaTheme="minorEastAsia" w:cstheme="minorEastAsia"/>
        </w:rPr>
        <w:t>“矿权交易—项目管理—矿区报名查看”</w:t>
      </w:r>
      <w:r>
        <w:t>菜</w:t>
      </w:r>
      <w:r>
        <w:rPr>
          <w:rFonts w:hint="eastAsia" w:asciiTheme="minorEastAsia" w:hAnsiTheme="minorEastAsia" w:eastAsiaTheme="minorEastAsia" w:cstheme="minorEastAsia"/>
        </w:rPr>
        <w:t>单，进入矿区报名查看列表页面</w:t>
      </w:r>
      <w:r>
        <w:t>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0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2、点击“查看”按钮，进入“矿区交易报名”页面，查看矿区报名相关信息，如下图：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1888490"/>
            <wp:effectExtent l="0" t="0" r="0" b="0"/>
            <wp:docPr id="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/>
                    <pic:cNvPicPr>
                      <a:picLocks noChangeAspect="1"/>
                    </pic:cNvPicPr>
                  </pic:nvPicPr>
                  <pic:blipFill>
                    <a:blip r:embed="rId49"/>
                    <a:srcRect b="2335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8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3、点击“预览报名单”，查看相关信息，如下图：</w:t>
      </w:r>
      <w:r>
        <w:drawing>
          <wp:inline distT="0" distB="0" distL="114300" distR="114300">
            <wp:extent cx="5269865" cy="3042285"/>
            <wp:effectExtent l="0" t="0" r="0" b="0"/>
            <wp:docPr id="4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3"/>
                    <pic:cNvPicPr>
                      <a:picLocks noChangeAspect="1"/>
                    </pic:cNvPicPr>
                  </pic:nvPicPr>
                  <pic:blipFill>
                    <a:blip r:embed="rId50"/>
                    <a:srcRect t="-1" b="3159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4、点击“查看报价”按钮，页面显示对应竞买人的报价信息，如下图：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2459990"/>
            <wp:effectExtent l="0" t="0" r="6985" b="16510"/>
            <wp:docPr id="4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注：设置了竞价规则后，查看报价模块才会显示。</w:t>
      </w:r>
    </w:p>
    <w:p>
      <w:pPr>
        <w:ind w:firstLine="0" w:firstLineChars="0"/>
      </w:pPr>
    </w:p>
    <w:p>
      <w:pPr>
        <w:pStyle w:val="4"/>
      </w:pPr>
      <w:bookmarkStart w:id="78" w:name="_Toc21793"/>
      <w:r>
        <w:rPr>
          <w:rFonts w:hint="eastAsia"/>
        </w:rPr>
        <w:t>成交公告</w:t>
      </w:r>
      <w:bookmarkEnd w:id="78"/>
    </w:p>
    <w:p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交易公告截止时间已到，且竞价的项目已同步过竞价结果。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编制矿区项目的成交公告信息。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</w:t>
      </w:r>
      <w:r>
        <w:rPr>
          <w:rFonts w:hint="eastAsia" w:asciiTheme="minorEastAsia" w:hAnsiTheme="minorEastAsia" w:eastAsiaTheme="minorEastAsia" w:cstheme="minorEastAsia"/>
        </w:rPr>
        <w:t>点击“矿权交易—项目管理—成交公告”菜单，</w:t>
      </w:r>
      <w:r>
        <w:rPr>
          <w:rFonts w:hint="eastAsia" w:eastAsiaTheme="minorEastAsia"/>
        </w:rPr>
        <w:t>进入成交公告列表页面</w:t>
      </w:r>
      <w:r>
        <w:t>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0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“新增成交公告”</w:t>
      </w:r>
      <w:r>
        <w:t>按钮，进入</w:t>
      </w:r>
      <w:r>
        <w:rPr>
          <w:rFonts w:hint="eastAsia"/>
        </w:rPr>
        <w:t>矿区列表</w:t>
      </w:r>
      <w:r>
        <w:t>页面</w:t>
      </w:r>
      <w:r>
        <w:rPr>
          <w:rFonts w:hint="eastAsia"/>
        </w:rPr>
        <w:t>，如下图：</w:t>
      </w:r>
    </w:p>
    <w:p>
      <w:pPr>
        <w:ind w:firstLine="0" w:firstLineChars="0"/>
        <w:rPr>
          <w:b/>
        </w:rPr>
      </w:pPr>
      <w:r>
        <w:drawing>
          <wp:inline distT="0" distB="0" distL="114300" distR="114300">
            <wp:extent cx="5274310" cy="2458085"/>
            <wp:effectExtent l="0" t="0" r="2540" b="18415"/>
            <wp:docPr id="5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3、选择矿区，</w:t>
      </w:r>
      <w:r>
        <w:t>点击</w:t>
      </w:r>
      <w:r>
        <w:rPr>
          <w:rFonts w:hint="eastAsia"/>
        </w:rPr>
        <w:t>“确认选择”</w:t>
      </w:r>
      <w:r>
        <w:t>按钮，</w:t>
      </w:r>
      <w:r>
        <w:rPr>
          <w:rFonts w:hint="eastAsia"/>
        </w:rPr>
        <w:t>进入新增成交公告页面，如下图：</w:t>
      </w:r>
    </w:p>
    <w:p>
      <w:pPr>
        <w:ind w:firstLine="0" w:firstLineChars="0"/>
      </w:pPr>
      <w:r>
        <w:drawing>
          <wp:inline distT="0" distB="0" distL="114300" distR="114300">
            <wp:extent cx="5277485" cy="2452370"/>
            <wp:effectExtent l="0" t="0" r="18415" b="5080"/>
            <wp:docPr id="5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4、02土地信息明细中，默认读取竞价过程中成交的单位，点击“操作”按钮，可修改中标单位信息，如下图：</w:t>
      </w:r>
      <w:r>
        <w:drawing>
          <wp:inline distT="0" distB="0" distL="114300" distR="114300">
            <wp:extent cx="5273675" cy="2472055"/>
            <wp:effectExtent l="0" t="0" r="3175" b="4445"/>
            <wp:docPr id="5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73300"/>
            <wp:effectExtent l="0" t="0" r="10160" b="12700"/>
            <wp:docPr id="5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注：土地交易中为单中标人，重新选择中标单位后，会更换原先的中标单位信息。</w:t>
      </w:r>
    </w:p>
    <w:p>
      <w:r>
        <w:rPr>
          <w:rFonts w:hint="eastAsia"/>
        </w:rPr>
        <w:t>5、填写页面</w:t>
      </w:r>
      <w:r>
        <w:t>信息后，点击</w:t>
      </w:r>
      <w:r>
        <w:rPr>
          <w:rFonts w:hint="eastAsia"/>
        </w:rPr>
        <w:t>“修改保存”</w:t>
      </w:r>
      <w:r>
        <w:t>按钮</w:t>
      </w:r>
      <w:r>
        <w:rPr>
          <w:rFonts w:hint="eastAsia"/>
        </w:rPr>
        <w:t>保存编辑状态</w:t>
      </w:r>
      <w:r>
        <w:t>。</w:t>
      </w:r>
    </w:p>
    <w:p>
      <w:r>
        <w:rPr>
          <w:rFonts w:hint="eastAsia"/>
        </w:rPr>
        <w:t>6、04附件信息中，点击“点击生成”按钮，进入中标公示页面，如下图：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2448560"/>
            <wp:effectExtent l="0" t="0" r="6985" b="8890"/>
            <wp:docPr id="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7、点击“电子签章”按钮，弹出“选择签章”页面，，点击“盖章”按钮，完成签章，如下图：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2461895"/>
            <wp:effectExtent l="0" t="0" r="635" b="14605"/>
            <wp:docPr id="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注：拖动签章可更改位置，完成后会弹出确认提示。</w:t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8、点击“完成离开”，自动退出页面，回到新增成交公告页面，附件信息处显示已签章，如下图：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2293620"/>
            <wp:effectExtent l="0" t="0" r="635" b="11430"/>
            <wp:docPr id="1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9、</w:t>
      </w:r>
      <w:r>
        <w:t>点击</w:t>
      </w:r>
      <w:r>
        <w:rPr>
          <w:rFonts w:hint="eastAsia"/>
        </w:rPr>
        <w:t>“提交信息”</w:t>
      </w:r>
      <w:r>
        <w:t>按钮，</w:t>
      </w:r>
      <w:r>
        <w:rPr>
          <w:rFonts w:hint="eastAsia"/>
        </w:rPr>
        <w:t>成交公告新增成功，且直接审核通过，如下图：</w:t>
      </w:r>
      <w:r>
        <w:drawing>
          <wp:inline distT="0" distB="0" distL="114300" distR="114300">
            <wp:extent cx="5266690" cy="2553970"/>
            <wp:effectExtent l="0" t="0" r="6350" b="6350"/>
            <wp:docPr id="10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10、成交公告列表页面上，点击“编辑中”状态下项目的“操作”按钮，可修改成交公告，如下图：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0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11、成交公告列表页面上，选中要删除的成交公告，点击“删除成交公告”按钮，可删除该成交公告，如下图：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0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79" w:name="_Toc2383"/>
      <w:r>
        <w:rPr>
          <w:rFonts w:hint="eastAsia"/>
        </w:rPr>
        <w:t>电子竞价</w:t>
      </w:r>
      <w:bookmarkEnd w:id="79"/>
    </w:p>
    <w:p>
      <w:pPr>
        <w:pStyle w:val="4"/>
      </w:pPr>
      <w:bookmarkStart w:id="80" w:name="_Toc11123"/>
      <w:r>
        <w:rPr>
          <w:rFonts w:hint="eastAsia"/>
        </w:rPr>
        <w:t>设定竞价规则</w:t>
      </w:r>
      <w:bookmarkEnd w:id="80"/>
    </w:p>
    <w:p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交易公告已发布。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设定矿区的竞价规则。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r>
        <w:rPr>
          <w:rFonts w:hint="eastAsia"/>
        </w:rPr>
        <w:t>1、点击“矿权交易－电子竞价－设定竞价规则”，进入竞价规则列表页面，如下图：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2290445"/>
            <wp:effectExtent l="0" t="0" r="5080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2、点击“新增竞价规则”按钮，进入挑选矿区页面，如下图：</w:t>
      </w:r>
      <w:r>
        <w:drawing>
          <wp:inline distT="0" distB="0" distL="114300" distR="114300">
            <wp:extent cx="5266690" cy="2553970"/>
            <wp:effectExtent l="0" t="0" r="6350" b="6350"/>
            <wp:docPr id="10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3、选择矿区，点击“确认选择”按钮，进入新增竞价规则页面，如下图：</w:t>
      </w:r>
      <w:r>
        <w:drawing>
          <wp:inline distT="0" distB="0" distL="114300" distR="114300">
            <wp:extent cx="5272405" cy="2442845"/>
            <wp:effectExtent l="0" t="0" r="4445" b="14605"/>
            <wp:docPr id="6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预订竞价日期和起始时间为竞价开始时间（此处自动读取新增地块中的数据，且无法修改，自由竞价时长为新增地块时设置的挂牌/拍卖起止时间值）；询问期时长设置询问期持续的时间；竞价延时时段设置延时竞价的持续时间；金额精度为报价的小数位数。</w:t>
      </w:r>
    </w:p>
    <w:p>
      <w:r>
        <w:rPr>
          <w:rFonts w:hint="eastAsia"/>
        </w:rPr>
        <w:t>4、步长类型如果选择“可变步长”，则可以设置步长规则，点击“设置步长规则”按钮，弹出设置步长页面，如下图：</w:t>
      </w:r>
      <w:r>
        <w:drawing>
          <wp:inline distT="0" distB="0" distL="114300" distR="114300">
            <wp:extent cx="5273675" cy="2468245"/>
            <wp:effectExtent l="0" t="0" r="3175" b="8255"/>
            <wp:docPr id="6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5、输入档次，点击刷新档次，设置步长规则，点击“确认设置”按钮，回到新增竞价规则页面，如下图：</w:t>
      </w:r>
      <w:r>
        <w:drawing>
          <wp:inline distT="0" distB="0" distL="114300" distR="114300">
            <wp:extent cx="5277485" cy="2472055"/>
            <wp:effectExtent l="0" t="0" r="18415" b="4445"/>
            <wp:docPr id="6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注：下一档的“满此金额”必须大于上一档的“满此金额”，下一档的步长要小于上一档的步长。</w:t>
      </w:r>
    </w:p>
    <w:p>
      <w:r>
        <w:rPr>
          <w:rFonts w:hint="eastAsia"/>
        </w:rPr>
        <w:t>6、填写页面信息后，点击“添加保存”按钮，完成竞价规则的设置，设定竞价规则列表页面显示新增数据，如下图：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450465"/>
            <wp:effectExtent l="0" t="0" r="8255" b="6985"/>
            <wp:docPr id="6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注：矿区交易不走熔断，此处是否存在熔断价默认选择否。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1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>7、设定竞价规则列表页面上，点击 “查看”按钮，可查看竞价规则，如下图：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2464435"/>
            <wp:effectExtent l="0" t="0" r="6985" b="12065"/>
            <wp:docPr id="6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bookmarkStart w:id="87" w:name="_GoBack"/>
      <w:bookmarkEnd w:id="87"/>
    </w:p>
    <w:p>
      <w:pPr>
        <w:pStyle w:val="4"/>
      </w:pPr>
      <w:bookmarkStart w:id="81" w:name="_Toc10606"/>
      <w:r>
        <w:rPr>
          <w:rFonts w:hint="eastAsia"/>
        </w:rPr>
        <w:t>竞价控制</w:t>
      </w:r>
      <w:bookmarkEnd w:id="81"/>
    </w:p>
    <w:p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竞价规则已新增完毕。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控制竞价状态。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r>
        <w:rPr>
          <w:rFonts w:hint="eastAsia"/>
        </w:rPr>
        <w:t>1、点击“矿权交易－电子竞价－竞价控制”，进入竞价控制列表页面，如下图</w:t>
      </w:r>
    </w:p>
    <w:p>
      <w:pPr>
        <w:ind w:firstLine="0" w:firstLineChars="0"/>
      </w:pPr>
      <w:r>
        <w:drawing>
          <wp:inline distT="0" distB="0" distL="114300" distR="114300">
            <wp:extent cx="5266690" cy="2553970"/>
            <wp:effectExtent l="0" t="0" r="6350" b="6350"/>
            <wp:docPr id="12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4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2、点击“操作”按钮，进入竞价控制页面，如下图：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3397885"/>
            <wp:effectExtent l="0" t="0" r="635" b="12065"/>
            <wp:docPr id="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3、点击“暂停竞价”按钮，对应竞价页面竞价状态会显示“竞价暂停”，如下图：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3424555"/>
            <wp:effectExtent l="0" t="0" r="635" b="4445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4、竞价控制页面，点击“开始竞价”按钮，竞价页面会恢复竞价，如下图：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3392805"/>
            <wp:effectExtent l="0" t="0" r="635" b="17145"/>
            <wp:docPr id="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39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注：“暂停竞价”按钮点击成功后，会变为“开始竞价”按钮，同理点击“开始竞价”按钮成功后，会变为“暂停竞价”按钮。</w:t>
      </w:r>
    </w:p>
    <w:p>
      <w:pPr>
        <w:ind w:firstLine="0" w:firstLineChars="0"/>
      </w:pPr>
      <w:r>
        <w:drawing>
          <wp:inline distT="0" distB="0" distL="114300" distR="114300">
            <wp:extent cx="5274310" cy="3404870"/>
            <wp:effectExtent l="0" t="0" r="2540" b="5080"/>
            <wp:docPr id="9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5、竞价控制页面，输入广播信息，点击“提交”按钮，竞价页面会显示广播信息，如下图：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3414395"/>
            <wp:effectExtent l="0" t="0" r="1905" b="14605"/>
            <wp:docPr id="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4310" cy="3394075"/>
            <wp:effectExtent l="0" t="0" r="2540" b="15875"/>
            <wp:docPr id="9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6、点击报价记录菜单按钮，弹出“报价历史记录”页面，可查看竞价信息，如下图：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3028950"/>
            <wp:effectExtent l="0" t="0" r="3175" b="0"/>
            <wp:docPr id="9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7、竞价控制页面，点击“终止竞价”按钮，竞价直接结束，竞价系统会弹出提示，相当于流拍，如下图：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3387090"/>
            <wp:effectExtent l="0" t="0" r="5715" b="3810"/>
            <wp:docPr id="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375025"/>
            <wp:effectExtent l="0" t="0" r="3810" b="15875"/>
            <wp:docPr id="156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8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0" w:firstLineChars="0"/>
      </w:pPr>
    </w:p>
    <w:p>
      <w:pPr>
        <w:pStyle w:val="4"/>
      </w:pPr>
      <w:bookmarkStart w:id="82" w:name="_Toc24821"/>
      <w:r>
        <w:rPr>
          <w:rFonts w:hint="eastAsia"/>
        </w:rPr>
        <w:t>报价历史记录</w:t>
      </w:r>
      <w:bookmarkEnd w:id="82"/>
    </w:p>
    <w:p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竞价规则已新增完毕。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查看</w:t>
      </w:r>
      <w:r>
        <w:rPr>
          <w:rFonts w:hint="eastAsia"/>
          <w:bCs/>
        </w:rPr>
        <w:t>报价历史记录</w:t>
      </w:r>
      <w:r>
        <w:rPr>
          <w:rFonts w:hint="eastAsia" w:ascii="宋体" w:hAnsi="宋体"/>
          <w:bCs/>
        </w:rPr>
        <w:t>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r>
        <w:rPr>
          <w:rFonts w:hint="eastAsia"/>
        </w:rPr>
        <w:t>1、点击“矿权交易－电子竞价－报价历史记录”，如下图：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2677160"/>
            <wp:effectExtent l="0" t="0" r="889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 xml:space="preserve">点击“操作”按钮，进入报价历史记录页面，如下图： </w:t>
      </w:r>
    </w:p>
    <w:p>
      <w:pPr>
        <w:ind w:firstLine="0" w:firstLineChars="0"/>
      </w:pPr>
      <w:r>
        <w:drawing>
          <wp:inline distT="0" distB="0" distL="114300" distR="114300">
            <wp:extent cx="5276215" cy="2466340"/>
            <wp:effectExtent l="0" t="0" r="635" b="10160"/>
            <wp:docPr id="7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3、点击“导出Excel”按钮，下载报价记录excel表，表中显示报价记录，如下图：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693035"/>
            <wp:effectExtent l="0" t="0" r="8255" b="12065"/>
            <wp:docPr id="7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83" w:name="_Toc18920"/>
      <w:r>
        <w:rPr>
          <w:rFonts w:hint="eastAsia"/>
        </w:rPr>
        <w:t>同步竞价结果</w:t>
      </w:r>
      <w:bookmarkEnd w:id="83"/>
    </w:p>
    <w:p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竞价已结束。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查看最终竞价结果，及同步竞价结果操作。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r>
        <w:rPr>
          <w:rFonts w:hint="eastAsia"/>
        </w:rPr>
        <w:t>1、点击“矿权交易－电子竞价－同步竞价结果”，如下图：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77485" cy="2990215"/>
            <wp:effectExtent l="0" t="0" r="571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注：成交的矿区，会显示拟中标单位，及中标价格，而流拍的矿区，拟中标单位，及中标价格显示为空。</w:t>
      </w:r>
    </w:p>
    <w:p>
      <w:r>
        <w:rPr>
          <w:rFonts w:hint="eastAsia"/>
        </w:rPr>
        <w:t>3、未自动同步竞价结果的矿区，筛选条件选择“未同步”，进入未同步页面，选择需要同步竞价结果的矿区，点击“同步竞价结果”按钮，如下图：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153285"/>
            <wp:effectExtent l="0" t="0" r="381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4、同步竞价结果成功，会弹出同步成功提示信息，如下图：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337435"/>
            <wp:effectExtent l="0" t="0" r="3810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注：同步成功的矿区信息，会转移到“已同步”页面。</w:t>
      </w:r>
    </w:p>
    <w:p>
      <w:pPr>
        <w:ind w:firstLine="0" w:firstLineChars="0"/>
      </w:pPr>
    </w:p>
    <w:p>
      <w:pPr>
        <w:pStyle w:val="3"/>
      </w:pPr>
      <w:bookmarkStart w:id="84" w:name="_Toc13481"/>
      <w:r>
        <w:rPr>
          <w:rFonts w:hint="eastAsia"/>
        </w:rPr>
        <w:t>矿区管理</w:t>
      </w:r>
      <w:bookmarkEnd w:id="84"/>
    </w:p>
    <w:p>
      <w:pPr>
        <w:pStyle w:val="4"/>
      </w:pPr>
      <w:bookmarkStart w:id="85" w:name="_Toc18184"/>
      <w:r>
        <w:rPr>
          <w:rFonts w:hint="eastAsia"/>
        </w:rPr>
        <w:t>矿区状态管理</w:t>
      </w:r>
      <w:bookmarkEnd w:id="85"/>
    </w:p>
    <w:p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交易公告已发布。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修改矿区状态。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r>
        <w:rPr>
          <w:rFonts w:hint="eastAsia"/>
        </w:rPr>
        <w:t>1、点击“矿权交易－矿区管理－矿区状态管理”，如下图：</w:t>
      </w:r>
      <w:r>
        <w:drawing>
          <wp:inline distT="0" distB="0" distL="114300" distR="114300">
            <wp:extent cx="5272405" cy="2337435"/>
            <wp:effectExtent l="0" t="0" r="1079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2、点击“查看”按钮，打开查看矿区信息页面，如下图：</w:t>
      </w:r>
      <w:r>
        <w:drawing>
          <wp:inline distT="0" distB="0" distL="114300" distR="114300">
            <wp:extent cx="5272405" cy="2458085"/>
            <wp:effectExtent l="0" t="0" r="4445" b="18415"/>
            <wp:docPr id="8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pStyle w:val="4"/>
      </w:pPr>
      <w:bookmarkStart w:id="86" w:name="_Toc3511"/>
      <w:r>
        <w:rPr>
          <w:rFonts w:hint="eastAsia"/>
        </w:rPr>
        <w:t>保证金查询</w:t>
      </w:r>
      <w:bookmarkEnd w:id="86"/>
    </w:p>
    <w:p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新增矿区成功后。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查询保证金。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r>
        <w:rPr>
          <w:rFonts w:hint="eastAsia"/>
        </w:rPr>
        <w:t>1、点击“矿权交易－矿区管理－保证金查询”，如下图：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260223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2、点击“操作”，进入申购单位列表页面，如下图：</w:t>
      </w:r>
      <w:r>
        <w:drawing>
          <wp:inline distT="0" distB="0" distL="114300" distR="114300">
            <wp:extent cx="5277485" cy="2274570"/>
            <wp:effectExtent l="0" t="0" r="0" b="0"/>
            <wp:docPr id="8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7"/>
                    <pic:cNvPicPr>
                      <a:picLocks noChangeAspect="1"/>
                    </pic:cNvPicPr>
                  </pic:nvPicPr>
                  <pic:blipFill>
                    <a:blip r:embed="rId88"/>
                    <a:srcRect b="796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7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tabs>
        <w:tab w:val="right" w:pos="8315"/>
        <w:tab w:val="clear" w:pos="8306"/>
      </w:tabs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 </w:t>
    </w:r>
    <w:r>
      <w:fldChar w:fldCharType="begin"/>
    </w:r>
    <w:r>
      <w:instrText xml:space="preserve"> PAGE </w:instrText>
    </w:r>
    <w:r>
      <w:fldChar w:fldCharType="separate"/>
    </w:r>
    <w:r>
      <w:t>49</w:t>
    </w:r>
    <w:r>
      <w:fldChar w:fldCharType="end"/>
    </w:r>
    <w:r>
      <w:rPr>
        <w:lang w:val="zh-CN"/>
      </w:rPr>
      <w:t>/</w:t>
    </w:r>
    <w:r>
      <w:rPr>
        <w:rFonts w:hint="eastAsia"/>
      </w:rPr>
      <w:t>53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t>矿权交易中心</w:t>
    </w:r>
    <w:r>
      <w:rPr>
        <w:rFonts w:hint="eastAsia" w:ascii="Cambria" w:hAnsi="Cambria"/>
      </w:rPr>
      <w:t xml:space="preserve">操作手册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5B7B7"/>
    <w:multiLevelType w:val="singleLevel"/>
    <w:tmpl w:val="30C5B7B7"/>
    <w:lvl w:ilvl="0" w:tentative="0">
      <w:start w:val="2"/>
      <w:numFmt w:val="decimal"/>
      <w:suff w:val="nothing"/>
      <w:lvlText w:val="%1，"/>
      <w:lvlJc w:val="left"/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 w:val="1"/>
  <w:bordersDoNotSurroundFooter w:val="1"/>
  <w:doNotTrackMoves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A3D7A"/>
    <w:rsid w:val="000023F6"/>
    <w:rsid w:val="00012860"/>
    <w:rsid w:val="0002112B"/>
    <w:rsid w:val="000605AC"/>
    <w:rsid w:val="00065A7C"/>
    <w:rsid w:val="00087262"/>
    <w:rsid w:val="000A1499"/>
    <w:rsid w:val="000B4A1E"/>
    <w:rsid w:val="000C3182"/>
    <w:rsid w:val="000F6D46"/>
    <w:rsid w:val="00122C2D"/>
    <w:rsid w:val="001274AD"/>
    <w:rsid w:val="00130AD1"/>
    <w:rsid w:val="00132EFA"/>
    <w:rsid w:val="00157539"/>
    <w:rsid w:val="001752F8"/>
    <w:rsid w:val="00181D2A"/>
    <w:rsid w:val="001966E9"/>
    <w:rsid w:val="001A40E2"/>
    <w:rsid w:val="001A750C"/>
    <w:rsid w:val="001E6B8A"/>
    <w:rsid w:val="001F5ABA"/>
    <w:rsid w:val="002026A9"/>
    <w:rsid w:val="00205591"/>
    <w:rsid w:val="002062F7"/>
    <w:rsid w:val="00207807"/>
    <w:rsid w:val="00213C7C"/>
    <w:rsid w:val="00226450"/>
    <w:rsid w:val="002570C2"/>
    <w:rsid w:val="00261022"/>
    <w:rsid w:val="0026522B"/>
    <w:rsid w:val="00274441"/>
    <w:rsid w:val="002803A3"/>
    <w:rsid w:val="002B22CE"/>
    <w:rsid w:val="002B2828"/>
    <w:rsid w:val="002D3498"/>
    <w:rsid w:val="002D6C87"/>
    <w:rsid w:val="002E0190"/>
    <w:rsid w:val="002F5BDE"/>
    <w:rsid w:val="00303EC4"/>
    <w:rsid w:val="00330E76"/>
    <w:rsid w:val="00335E6A"/>
    <w:rsid w:val="00340393"/>
    <w:rsid w:val="0035539D"/>
    <w:rsid w:val="0036405E"/>
    <w:rsid w:val="00364FA6"/>
    <w:rsid w:val="00366E3A"/>
    <w:rsid w:val="00376622"/>
    <w:rsid w:val="00383C3D"/>
    <w:rsid w:val="0038752C"/>
    <w:rsid w:val="003B5114"/>
    <w:rsid w:val="003C1B65"/>
    <w:rsid w:val="003C444D"/>
    <w:rsid w:val="003D3DDE"/>
    <w:rsid w:val="003D676A"/>
    <w:rsid w:val="003E33CF"/>
    <w:rsid w:val="004165F3"/>
    <w:rsid w:val="00430169"/>
    <w:rsid w:val="0043020F"/>
    <w:rsid w:val="0043739F"/>
    <w:rsid w:val="00447F6B"/>
    <w:rsid w:val="00454D70"/>
    <w:rsid w:val="00490AAA"/>
    <w:rsid w:val="004D055F"/>
    <w:rsid w:val="004E268D"/>
    <w:rsid w:val="004E382E"/>
    <w:rsid w:val="004F307E"/>
    <w:rsid w:val="00521AD4"/>
    <w:rsid w:val="00533A22"/>
    <w:rsid w:val="00546587"/>
    <w:rsid w:val="0056466E"/>
    <w:rsid w:val="005809A2"/>
    <w:rsid w:val="00590C82"/>
    <w:rsid w:val="005A3D7A"/>
    <w:rsid w:val="005A678F"/>
    <w:rsid w:val="005B1271"/>
    <w:rsid w:val="005B58E3"/>
    <w:rsid w:val="005D08DA"/>
    <w:rsid w:val="005E4FC3"/>
    <w:rsid w:val="00621B56"/>
    <w:rsid w:val="006247D8"/>
    <w:rsid w:val="006327A2"/>
    <w:rsid w:val="006335EC"/>
    <w:rsid w:val="00643BE3"/>
    <w:rsid w:val="00651B79"/>
    <w:rsid w:val="00653193"/>
    <w:rsid w:val="0065730F"/>
    <w:rsid w:val="00660D37"/>
    <w:rsid w:val="00661089"/>
    <w:rsid w:val="006672DE"/>
    <w:rsid w:val="0067292A"/>
    <w:rsid w:val="00682122"/>
    <w:rsid w:val="00682699"/>
    <w:rsid w:val="006879A2"/>
    <w:rsid w:val="0069141A"/>
    <w:rsid w:val="006C2BDA"/>
    <w:rsid w:val="006E10E6"/>
    <w:rsid w:val="006F0D75"/>
    <w:rsid w:val="006F67A0"/>
    <w:rsid w:val="00712D5B"/>
    <w:rsid w:val="00715643"/>
    <w:rsid w:val="0073763B"/>
    <w:rsid w:val="00737D42"/>
    <w:rsid w:val="0076632E"/>
    <w:rsid w:val="007863E0"/>
    <w:rsid w:val="00794B09"/>
    <w:rsid w:val="007C08DC"/>
    <w:rsid w:val="007D4795"/>
    <w:rsid w:val="007F3026"/>
    <w:rsid w:val="007F4C2B"/>
    <w:rsid w:val="00807681"/>
    <w:rsid w:val="00842D60"/>
    <w:rsid w:val="00865043"/>
    <w:rsid w:val="00874E6F"/>
    <w:rsid w:val="00882D03"/>
    <w:rsid w:val="00884580"/>
    <w:rsid w:val="008A0FDA"/>
    <w:rsid w:val="008A5A57"/>
    <w:rsid w:val="008B398E"/>
    <w:rsid w:val="008B5870"/>
    <w:rsid w:val="008C6D33"/>
    <w:rsid w:val="008C6FD7"/>
    <w:rsid w:val="008D0142"/>
    <w:rsid w:val="008D51EA"/>
    <w:rsid w:val="008E0616"/>
    <w:rsid w:val="008F0F96"/>
    <w:rsid w:val="008F218D"/>
    <w:rsid w:val="00906EAA"/>
    <w:rsid w:val="00952749"/>
    <w:rsid w:val="009532F5"/>
    <w:rsid w:val="00954A2F"/>
    <w:rsid w:val="00955BED"/>
    <w:rsid w:val="00983865"/>
    <w:rsid w:val="00984BF1"/>
    <w:rsid w:val="00987392"/>
    <w:rsid w:val="00992457"/>
    <w:rsid w:val="009A6E50"/>
    <w:rsid w:val="009A7C78"/>
    <w:rsid w:val="009B1A43"/>
    <w:rsid w:val="009B452E"/>
    <w:rsid w:val="009D790C"/>
    <w:rsid w:val="009E4A22"/>
    <w:rsid w:val="009F70C5"/>
    <w:rsid w:val="00A15814"/>
    <w:rsid w:val="00A367B9"/>
    <w:rsid w:val="00A46C32"/>
    <w:rsid w:val="00A90E29"/>
    <w:rsid w:val="00A95D78"/>
    <w:rsid w:val="00AC06A6"/>
    <w:rsid w:val="00AD13DF"/>
    <w:rsid w:val="00AD1C01"/>
    <w:rsid w:val="00AD2F83"/>
    <w:rsid w:val="00AD76A5"/>
    <w:rsid w:val="00B01303"/>
    <w:rsid w:val="00B06ABD"/>
    <w:rsid w:val="00B308A2"/>
    <w:rsid w:val="00B33133"/>
    <w:rsid w:val="00B36819"/>
    <w:rsid w:val="00B3685E"/>
    <w:rsid w:val="00B40F8C"/>
    <w:rsid w:val="00B4655B"/>
    <w:rsid w:val="00B50891"/>
    <w:rsid w:val="00B52EE4"/>
    <w:rsid w:val="00B64CC5"/>
    <w:rsid w:val="00B70F62"/>
    <w:rsid w:val="00B7235D"/>
    <w:rsid w:val="00BA57B7"/>
    <w:rsid w:val="00BB4682"/>
    <w:rsid w:val="00BB5703"/>
    <w:rsid w:val="00BC56F7"/>
    <w:rsid w:val="00BE6DB6"/>
    <w:rsid w:val="00C02FC7"/>
    <w:rsid w:val="00C031C3"/>
    <w:rsid w:val="00C1295F"/>
    <w:rsid w:val="00C1306A"/>
    <w:rsid w:val="00C1587A"/>
    <w:rsid w:val="00C53761"/>
    <w:rsid w:val="00C721E1"/>
    <w:rsid w:val="00C75DF7"/>
    <w:rsid w:val="00C83554"/>
    <w:rsid w:val="00CB4981"/>
    <w:rsid w:val="00CB7AD6"/>
    <w:rsid w:val="00CE39D0"/>
    <w:rsid w:val="00CE70D7"/>
    <w:rsid w:val="00CF04D6"/>
    <w:rsid w:val="00D13C0F"/>
    <w:rsid w:val="00D405ED"/>
    <w:rsid w:val="00D81678"/>
    <w:rsid w:val="00D84D9B"/>
    <w:rsid w:val="00D875BF"/>
    <w:rsid w:val="00D94F8B"/>
    <w:rsid w:val="00D9743E"/>
    <w:rsid w:val="00DA6768"/>
    <w:rsid w:val="00DB0D70"/>
    <w:rsid w:val="00DB6AC6"/>
    <w:rsid w:val="00DD2821"/>
    <w:rsid w:val="00DE36CE"/>
    <w:rsid w:val="00E010F1"/>
    <w:rsid w:val="00E317AC"/>
    <w:rsid w:val="00E35A67"/>
    <w:rsid w:val="00E44032"/>
    <w:rsid w:val="00E51036"/>
    <w:rsid w:val="00E81D65"/>
    <w:rsid w:val="00E9174F"/>
    <w:rsid w:val="00E9694D"/>
    <w:rsid w:val="00EC39EE"/>
    <w:rsid w:val="00EC5277"/>
    <w:rsid w:val="00F518CA"/>
    <w:rsid w:val="00F54DDD"/>
    <w:rsid w:val="00F5573D"/>
    <w:rsid w:val="00F92442"/>
    <w:rsid w:val="00FA09A3"/>
    <w:rsid w:val="00FB0EC1"/>
    <w:rsid w:val="00FE70C8"/>
    <w:rsid w:val="00FF0E8E"/>
    <w:rsid w:val="00FF48A5"/>
    <w:rsid w:val="0153622C"/>
    <w:rsid w:val="09761047"/>
    <w:rsid w:val="0C9972DD"/>
    <w:rsid w:val="0CC149E1"/>
    <w:rsid w:val="109A3F5B"/>
    <w:rsid w:val="11550FEC"/>
    <w:rsid w:val="127828B9"/>
    <w:rsid w:val="12C36DC5"/>
    <w:rsid w:val="18F80F1B"/>
    <w:rsid w:val="1A573D8A"/>
    <w:rsid w:val="1E52388C"/>
    <w:rsid w:val="1F32459B"/>
    <w:rsid w:val="207833DD"/>
    <w:rsid w:val="23954656"/>
    <w:rsid w:val="25780663"/>
    <w:rsid w:val="263156B4"/>
    <w:rsid w:val="27A90AF0"/>
    <w:rsid w:val="28741147"/>
    <w:rsid w:val="2E37087C"/>
    <w:rsid w:val="31070429"/>
    <w:rsid w:val="340E3C1E"/>
    <w:rsid w:val="39FF1846"/>
    <w:rsid w:val="3C552159"/>
    <w:rsid w:val="3C70508F"/>
    <w:rsid w:val="3E9772CC"/>
    <w:rsid w:val="40600376"/>
    <w:rsid w:val="40E727EF"/>
    <w:rsid w:val="45355926"/>
    <w:rsid w:val="478D4361"/>
    <w:rsid w:val="490E72D3"/>
    <w:rsid w:val="4B75093F"/>
    <w:rsid w:val="4D231478"/>
    <w:rsid w:val="4EA557A8"/>
    <w:rsid w:val="50AD7229"/>
    <w:rsid w:val="54B70485"/>
    <w:rsid w:val="56316068"/>
    <w:rsid w:val="57673180"/>
    <w:rsid w:val="59694752"/>
    <w:rsid w:val="5A4F45E9"/>
    <w:rsid w:val="5D4E1C67"/>
    <w:rsid w:val="5F7E1DE0"/>
    <w:rsid w:val="61D420B7"/>
    <w:rsid w:val="63326F40"/>
    <w:rsid w:val="64800465"/>
    <w:rsid w:val="6FB27CCE"/>
    <w:rsid w:val="7E8F55B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7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48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49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50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51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9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91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2"/>
    <w:qFormat/>
    <w:uiPriority w:val="0"/>
    <w:pPr>
      <w:outlineLvl w:val="7"/>
    </w:pPr>
  </w:style>
  <w:style w:type="paragraph" w:styleId="10">
    <w:name w:val="heading 9"/>
    <w:basedOn w:val="9"/>
    <w:next w:val="1"/>
    <w:link w:val="94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3"/>
    <w:qFormat/>
    <w:uiPriority w:val="0"/>
    <w:pPr>
      <w:spacing w:after="120"/>
    </w:pPr>
  </w:style>
  <w:style w:type="paragraph" w:styleId="18">
    <w:name w:val="Body Text Indent"/>
    <w:basedOn w:val="1"/>
    <w:link w:val="96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7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93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90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2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Hyperlink"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customStyle="1" w:styleId="47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48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49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50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51">
    <w:name w:val="标题 5 Char"/>
    <w:link w:val="6"/>
    <w:qFormat/>
    <w:uiPriority w:val="0"/>
    <w:rPr>
      <w:b/>
      <w:bCs/>
      <w:kern w:val="2"/>
      <w:sz w:val="28"/>
      <w:szCs w:val="28"/>
    </w:rPr>
  </w:style>
  <w:style w:type="paragraph" w:customStyle="1" w:styleId="52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3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4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5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6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7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8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9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0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1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62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3">
    <w:name w:val="样式1"/>
    <w:basedOn w:val="1"/>
    <w:link w:val="128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4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5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6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7">
    <w:name w:val="列出段落1"/>
    <w:basedOn w:val="1"/>
    <w:qFormat/>
    <w:uiPriority w:val="34"/>
  </w:style>
  <w:style w:type="paragraph" w:customStyle="1" w:styleId="68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9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0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1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2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3">
    <w:name w:val="样式3"/>
    <w:basedOn w:val="27"/>
    <w:link w:val="114"/>
    <w:qFormat/>
    <w:uiPriority w:val="0"/>
    <w:pPr>
      <w:ind w:firstLine="360"/>
    </w:pPr>
  </w:style>
  <w:style w:type="paragraph" w:customStyle="1" w:styleId="74">
    <w:name w:val="样式4"/>
    <w:basedOn w:val="73"/>
    <w:link w:val="115"/>
    <w:qFormat/>
    <w:uiPriority w:val="0"/>
  </w:style>
  <w:style w:type="paragraph" w:customStyle="1" w:styleId="75">
    <w:name w:val="样式5"/>
    <w:basedOn w:val="27"/>
    <w:link w:val="116"/>
    <w:qFormat/>
    <w:uiPriority w:val="0"/>
    <w:pPr>
      <w:ind w:firstLine="360"/>
    </w:pPr>
  </w:style>
  <w:style w:type="paragraph" w:customStyle="1" w:styleId="76">
    <w:name w:val="样式6"/>
    <w:basedOn w:val="27"/>
    <w:link w:val="117"/>
    <w:qFormat/>
    <w:uiPriority w:val="0"/>
    <w:pPr>
      <w:ind w:firstLine="360"/>
    </w:pPr>
  </w:style>
  <w:style w:type="paragraph" w:customStyle="1" w:styleId="77">
    <w:name w:val="样式7"/>
    <w:basedOn w:val="4"/>
    <w:link w:val="118"/>
    <w:qFormat/>
    <w:uiPriority w:val="0"/>
  </w:style>
  <w:style w:type="paragraph" w:customStyle="1" w:styleId="78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9">
    <w:name w:val="样式9"/>
    <w:basedOn w:val="78"/>
    <w:link w:val="120"/>
    <w:qFormat/>
    <w:uiPriority w:val="0"/>
    <w:pPr>
      <w:jc w:val="center"/>
    </w:pPr>
  </w:style>
  <w:style w:type="paragraph" w:customStyle="1" w:styleId="80">
    <w:name w:val="样式10"/>
    <w:basedOn w:val="79"/>
    <w:link w:val="121"/>
    <w:qFormat/>
    <w:uiPriority w:val="0"/>
    <w:pPr>
      <w:pBdr>
        <w:top w:val="single" w:color="76923C" w:sz="24" w:space="1"/>
      </w:pBdr>
    </w:pPr>
  </w:style>
  <w:style w:type="paragraph" w:customStyle="1" w:styleId="81">
    <w:name w:val="样式11"/>
    <w:basedOn w:val="80"/>
    <w:link w:val="122"/>
    <w:qFormat/>
    <w:uiPriority w:val="0"/>
    <w:pPr>
      <w:pBdr>
        <w:top w:val="none" w:color="auto" w:sz="0" w:space="0"/>
      </w:pBdr>
    </w:pPr>
  </w:style>
  <w:style w:type="paragraph" w:customStyle="1" w:styleId="82">
    <w:name w:val="样式12"/>
    <w:basedOn w:val="81"/>
    <w:link w:val="123"/>
    <w:qFormat/>
    <w:uiPriority w:val="0"/>
  </w:style>
  <w:style w:type="paragraph" w:customStyle="1" w:styleId="83">
    <w:name w:val="样式13"/>
    <w:basedOn w:val="77"/>
    <w:link w:val="124"/>
    <w:qFormat/>
    <w:uiPriority w:val="0"/>
  </w:style>
  <w:style w:type="paragraph" w:customStyle="1" w:styleId="84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5">
    <w:name w:val="1"/>
    <w:basedOn w:val="1"/>
    <w:link w:val="126"/>
    <w:qFormat/>
    <w:uiPriority w:val="0"/>
    <w:pPr>
      <w:ind w:firstLine="0" w:firstLineChars="0"/>
    </w:pPr>
  </w:style>
  <w:style w:type="paragraph" w:customStyle="1" w:styleId="86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7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8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9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1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2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3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4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5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6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7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8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03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4">
    <w:name w:val="f141"/>
    <w:qFormat/>
    <w:uiPriority w:val="0"/>
    <w:rPr>
      <w:sz w:val="21"/>
      <w:szCs w:val="21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9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72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73"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74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5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6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7"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8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9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80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81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82"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83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84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5"/>
    <w:qFormat/>
    <w:uiPriority w:val="0"/>
    <w:rPr>
      <w:kern w:val="2"/>
      <w:sz w:val="21"/>
      <w:szCs w:val="24"/>
    </w:rPr>
  </w:style>
  <w:style w:type="paragraph" w:customStyle="1" w:styleId="127">
    <w:name w:val="列出段落2"/>
    <w:basedOn w:val="1"/>
    <w:qFormat/>
    <w:uiPriority w:val="34"/>
  </w:style>
  <w:style w:type="character" w:customStyle="1" w:styleId="128">
    <w:name w:val="样式1 Char"/>
    <w:link w:val="63"/>
    <w:qFormat/>
    <w:uiPriority w:val="0"/>
    <w:rPr>
      <w:kern w:val="2"/>
      <w:sz w:val="24"/>
      <w:szCs w:val="24"/>
    </w:rPr>
  </w:style>
  <w:style w:type="paragraph" w:customStyle="1" w:styleId="129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customXml" Target="../customXml/item2.xml"/><Relationship Id="rId90" Type="http://schemas.openxmlformats.org/officeDocument/2006/relationships/numbering" Target="numbering.xml"/><Relationship Id="rId9" Type="http://schemas.openxmlformats.org/officeDocument/2006/relationships/theme" Target="theme/theme1.xml"/><Relationship Id="rId89" Type="http://schemas.openxmlformats.org/officeDocument/2006/relationships/customXml" Target="../customXml/item1.xml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FF6463-A292-4C05-8974-0240030B7B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</Company>
  <Pages>50</Pages>
  <Words>1211</Words>
  <Characters>6909</Characters>
  <Lines>57</Lines>
  <Paragraphs>16</Paragraphs>
  <TotalTime>5</TotalTime>
  <ScaleCrop>false</ScaleCrop>
  <LinksUpToDate>false</LinksUpToDate>
  <CharactersWithSpaces>8104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Administrator</cp:lastModifiedBy>
  <dcterms:modified xsi:type="dcterms:W3CDTF">2021-04-06T08:09:55Z</dcterms:modified>
  <dc:title>_x0001_</dc:title>
  <cp:revision>122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