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评委评标端操作手册</w:t>
      </w:r>
    </w:p>
    <w:p>
      <w:pPr>
        <w:ind w:firstLine="0" w:firstLineChars="0"/>
        <w:jc w:val="center"/>
        <w:rPr>
          <w:b/>
          <w:sz w:val="52"/>
          <w:szCs w:val="52"/>
        </w:rPr>
      </w:pPr>
    </w:p>
    <w:p>
      <w:pPr>
        <w:ind w:firstLine="0" w:firstLineChars="0"/>
        <w:jc w:val="center"/>
        <w:rPr>
          <w:b/>
          <w:sz w:val="52"/>
          <w:szCs w:val="52"/>
        </w:rPr>
      </w:pPr>
    </w:p>
    <w:p>
      <w:pPr>
        <w:ind w:firstLine="0" w:firstLineChars="0"/>
        <w:jc w:val="center"/>
        <w:rPr>
          <w:b/>
          <w:sz w:val="52"/>
          <w:szCs w:val="52"/>
        </w:rPr>
      </w:pPr>
    </w:p>
    <w:p>
      <w:pPr>
        <w:ind w:firstLine="0" w:firstLineChars="0"/>
        <w:jc w:val="center"/>
        <w:rPr>
          <w:b/>
          <w:sz w:val="52"/>
          <w:szCs w:val="52"/>
        </w:rPr>
      </w:pPr>
    </w:p>
    <w:p>
      <w:pPr>
        <w:ind w:firstLine="0" w:firstLineChars="0"/>
        <w:rPr>
          <w:b/>
          <w:sz w:val="52"/>
          <w:szCs w:val="52"/>
        </w:rPr>
      </w:pPr>
    </w:p>
    <w:p>
      <w:pPr>
        <w:ind w:firstLine="0" w:firstLineChars="0"/>
        <w:rPr>
          <w:b/>
          <w:sz w:val="52"/>
          <w:szCs w:val="52"/>
        </w:rPr>
      </w:pPr>
    </w:p>
    <w:p>
      <w:pPr>
        <w:ind w:firstLine="0" w:firstLineChars="0"/>
        <w:rPr>
          <w:b/>
          <w:sz w:val="52"/>
          <w:szCs w:val="52"/>
        </w:rPr>
      </w:pPr>
    </w:p>
    <w:p>
      <w:pPr>
        <w:ind w:firstLine="0" w:firstLineChars="0"/>
        <w:rPr>
          <w:b/>
          <w:sz w:val="52"/>
          <w:szCs w:val="52"/>
        </w:rPr>
      </w:pPr>
    </w:p>
    <w:p>
      <w:pPr>
        <w:ind w:firstLine="0" w:firstLineChars="0"/>
        <w:rPr>
          <w:b/>
          <w:sz w:val="52"/>
          <w:szCs w:val="52"/>
        </w:rPr>
      </w:pPr>
    </w:p>
    <w:p>
      <w:pPr>
        <w:ind w:firstLine="0" w:firstLineChars="0"/>
        <w:rPr>
          <w:b/>
          <w:sz w:val="52"/>
          <w:szCs w:val="52"/>
        </w:rPr>
      </w:pPr>
    </w:p>
    <w:p>
      <w:pPr>
        <w:ind w:firstLine="0" w:firstLineChars="0"/>
        <w:jc w:val="center"/>
        <w:rPr>
          <w:b/>
          <w:sz w:val="52"/>
          <w:szCs w:val="52"/>
        </w:rPr>
      </w:pPr>
    </w:p>
    <w:p>
      <w:pPr>
        <w:ind w:firstLine="0" w:firstLineChars="0"/>
        <w:jc w:val="center"/>
        <w:rPr>
          <w:b/>
          <w:sz w:val="52"/>
          <w:szCs w:val="52"/>
        </w:rPr>
      </w:pPr>
    </w:p>
    <w:p>
      <w:pPr>
        <w:pStyle w:val="91"/>
        <w:ind w:firstLine="360"/>
      </w:pPr>
    </w:p>
    <w:p>
      <w:pPr>
        <w:pStyle w:val="91"/>
        <w:ind w:firstLine="360"/>
      </w:pPr>
    </w:p>
    <w:p>
      <w:pPr>
        <w:pStyle w:val="91"/>
        <w:ind w:firstLine="0" w:firstLineChars="0"/>
        <w:jc w:val="center"/>
      </w:pPr>
      <w:r>
        <w:rPr>
          <w:rFonts w:hint="eastAsia"/>
        </w:rPr>
        <w:t>黑龙江公共资源评标系统</w:t>
      </w:r>
    </w:p>
    <w:p>
      <w:pPr>
        <w:pStyle w:val="91"/>
        <w:ind w:firstLine="0" w:firstLineChars="0"/>
        <w:jc w:val="center"/>
      </w:pPr>
    </w:p>
    <w:p>
      <w:pPr>
        <w:pStyle w:val="91"/>
        <w:ind w:firstLine="0" w:firstLineChars="0"/>
        <w:jc w:val="center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月</w:t>
      </w:r>
    </w:p>
    <w:p>
      <w:pPr>
        <w:pStyle w:val="91"/>
        <w:ind w:firstLine="0" w:firstLineChars="0"/>
      </w:pPr>
    </w:p>
    <w:p>
      <w:pPr>
        <w:pStyle w:val="91"/>
        <w:ind w:firstLine="0" w:firstLineChars="0"/>
      </w:pPr>
    </w:p>
    <w:p>
      <w:pPr>
        <w:pStyle w:val="91"/>
        <w:ind w:firstLine="0" w:firstLineChars="0"/>
      </w:pPr>
    </w:p>
    <w:p>
      <w:pPr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28"/>
        <w:tabs>
          <w:tab w:val="right" w:leader="dot" w:pos="8312"/>
        </w:tabs>
      </w:pPr>
      <w:bookmarkStart w:id="16" w:name="_GoBack"/>
      <w:bookmarkEnd w:id="16"/>
      <w:r>
        <w:rPr>
          <w:rFonts w:asciiTheme="minorHAnsi" w:hAnsiTheme="minorHAnsi"/>
        </w:rPr>
        <w:fldChar w:fldCharType="begin"/>
      </w:r>
      <w:r>
        <w:rPr>
          <w:rFonts w:asciiTheme="minorHAnsi" w:hAnsiTheme="minorHAnsi"/>
        </w:rPr>
        <w:instrText xml:space="preserve"> TOC \o "4-5" \h \z \t "标题 1,1,标题 2,2,标题 3,3" </w:instrText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</w:rPr>
        <w:fldChar w:fldCharType="begin"/>
      </w:r>
      <w:r>
        <w:rPr>
          <w:rFonts w:asciiTheme="minorHAnsi" w:hAnsiTheme="minorHAnsi"/>
        </w:rPr>
        <w:instrText xml:space="preserve"> HYPERLINK \l _Toc15198 </w:instrText>
      </w:r>
      <w:r>
        <w:rPr>
          <w:rFonts w:asciiTheme="minorHAnsi" w:hAnsiTheme="minorHAnsi"/>
        </w:rPr>
        <w:fldChar w:fldCharType="separate"/>
      </w:r>
      <w:r>
        <w:rPr>
          <w:rFonts w:hint="eastAsia"/>
          <w:lang w:val="en-US"/>
        </w:rPr>
        <w:t xml:space="preserve">一、 </w:t>
      </w:r>
      <w:r>
        <w:rPr>
          <w:rFonts w:hint="eastAsia"/>
        </w:rPr>
        <w:t>评标端模块概述</w:t>
      </w:r>
      <w:r>
        <w:tab/>
      </w:r>
      <w:r>
        <w:fldChar w:fldCharType="begin"/>
      </w:r>
      <w:r>
        <w:instrText xml:space="preserve"> PAGEREF _Toc15198 </w:instrText>
      </w:r>
      <w:r>
        <w:fldChar w:fldCharType="separate"/>
      </w:r>
      <w:r>
        <w:t>2</w:t>
      </w:r>
      <w:r>
        <w:fldChar w:fldCharType="end"/>
      </w:r>
      <w:r>
        <w:rPr>
          <w:rFonts w:asciiTheme="minorHAnsi" w:hAnsiTheme="minorHAnsi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_Toc17058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1.1、 </w:t>
      </w:r>
      <w:r>
        <w:rPr>
          <w:rFonts w:hint="eastAsia"/>
        </w:rPr>
        <w:t>评标端页面</w:t>
      </w:r>
      <w:r>
        <w:tab/>
      </w:r>
      <w:r>
        <w:fldChar w:fldCharType="begin"/>
      </w:r>
      <w:r>
        <w:instrText xml:space="preserve"> PAGEREF _Toc17058 </w:instrText>
      </w:r>
      <w:r>
        <w:fldChar w:fldCharType="separate"/>
      </w:r>
      <w:r>
        <w:t>2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_Toc2029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</w:rPr>
        <w:t>1.2、 评标准备</w:t>
      </w:r>
      <w:r>
        <w:tab/>
      </w:r>
      <w:r>
        <w:fldChar w:fldCharType="begin"/>
      </w:r>
      <w:r>
        <w:instrText xml:space="preserve"> PAGEREF _Toc2029 </w:instrText>
      </w:r>
      <w:r>
        <w:fldChar w:fldCharType="separate"/>
      </w:r>
      <w:r>
        <w:t>3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_Toc21753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</w:rPr>
        <w:t>1.3、 清标</w:t>
      </w:r>
      <w:r>
        <w:tab/>
      </w:r>
      <w:r>
        <w:fldChar w:fldCharType="begin"/>
      </w:r>
      <w:r>
        <w:instrText xml:space="preserve"> PAGEREF _Toc21753 </w:instrText>
      </w:r>
      <w:r>
        <w:fldChar w:fldCharType="separate"/>
      </w:r>
      <w:r>
        <w:t>5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_Toc19579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</w:rPr>
        <w:t>1.4、 形式、资审、响应性评审阶段</w:t>
      </w:r>
      <w:r>
        <w:tab/>
      </w:r>
      <w:r>
        <w:fldChar w:fldCharType="begin"/>
      </w:r>
      <w:r>
        <w:instrText xml:space="preserve"> PAGEREF _Toc19579 </w:instrText>
      </w:r>
      <w:r>
        <w:fldChar w:fldCharType="separate"/>
      </w:r>
      <w:r>
        <w:t>11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_Toc27063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t>1.5</w:t>
      </w:r>
      <w:r>
        <w:rPr>
          <w:rFonts w:hint="eastAsia"/>
        </w:rPr>
        <w:t>、 经济、技术评审阶段</w:t>
      </w:r>
      <w:r>
        <w:tab/>
      </w:r>
      <w:r>
        <w:fldChar w:fldCharType="begin"/>
      </w:r>
      <w:r>
        <w:instrText xml:space="preserve"> PAGEREF _Toc27063 </w:instrText>
      </w:r>
      <w:r>
        <w:fldChar w:fldCharType="separate"/>
      </w:r>
      <w:r>
        <w:t>13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28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_Toc26538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eastAsia"/>
          <w:lang w:val="en-US"/>
        </w:rPr>
        <w:t xml:space="preserve">二、 </w:t>
      </w:r>
      <w:r>
        <w:rPr>
          <w:rFonts w:hint="eastAsia"/>
        </w:rPr>
        <w:t>评审结果</w:t>
      </w:r>
      <w:r>
        <w:tab/>
      </w:r>
      <w:r>
        <w:fldChar w:fldCharType="begin"/>
      </w:r>
      <w:r>
        <w:instrText xml:space="preserve"> PAGEREF _Toc26538 </w:instrText>
      </w:r>
      <w:r>
        <w:fldChar w:fldCharType="separate"/>
      </w:r>
      <w:r>
        <w:t>15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_Toc2574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2.1、 </w:t>
      </w:r>
      <w:r>
        <w:rPr>
          <w:rFonts w:hint="eastAsia"/>
        </w:rPr>
        <w:t>最终排名</w:t>
      </w:r>
      <w:r>
        <w:tab/>
      </w:r>
      <w:r>
        <w:fldChar w:fldCharType="begin"/>
      </w:r>
      <w:r>
        <w:instrText xml:space="preserve"> PAGEREF _Toc2574 </w:instrText>
      </w:r>
      <w:r>
        <w:fldChar w:fldCharType="separate"/>
      </w:r>
      <w:r>
        <w:t>15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_Toc13973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2.2、 </w:t>
      </w:r>
      <w:r>
        <w:rPr>
          <w:rFonts w:hint="eastAsia"/>
        </w:rPr>
        <w:t>评标报告编辑</w:t>
      </w:r>
      <w:r>
        <w:tab/>
      </w:r>
      <w:r>
        <w:fldChar w:fldCharType="begin"/>
      </w:r>
      <w:r>
        <w:instrText xml:space="preserve"> PAGEREF _Toc13973 </w:instrText>
      </w:r>
      <w:r>
        <w:fldChar w:fldCharType="separate"/>
      </w:r>
      <w:r>
        <w:t>15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_Toc31898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2.3、 </w:t>
      </w:r>
      <w:r>
        <w:rPr>
          <w:rFonts w:hint="eastAsia"/>
        </w:rPr>
        <w:t>评委签章</w:t>
      </w:r>
      <w:r>
        <w:tab/>
      </w:r>
      <w:r>
        <w:fldChar w:fldCharType="begin"/>
      </w:r>
      <w:r>
        <w:instrText xml:space="preserve"> PAGEREF _Toc31898 </w:instrText>
      </w:r>
      <w:r>
        <w:fldChar w:fldCharType="separate"/>
      </w:r>
      <w:r>
        <w:t>17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_Toc29614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2.4、 </w:t>
      </w:r>
      <w:r>
        <w:rPr>
          <w:rFonts w:hint="eastAsia"/>
        </w:rPr>
        <w:t>评标结束</w:t>
      </w:r>
      <w:r>
        <w:tab/>
      </w:r>
      <w:r>
        <w:fldChar w:fldCharType="begin"/>
      </w:r>
      <w:r>
        <w:instrText xml:space="preserve"> PAGEREF _Toc29614 </w:instrText>
      </w:r>
      <w:r>
        <w:fldChar w:fldCharType="separate"/>
      </w:r>
      <w:r>
        <w:t>18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_Toc28477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2.5、 </w:t>
      </w:r>
      <w:r>
        <w:rPr>
          <w:rFonts w:hint="eastAsia"/>
        </w:rPr>
        <w:t>评标报告</w:t>
      </w:r>
      <w:r>
        <w:tab/>
      </w:r>
      <w:r>
        <w:fldChar w:fldCharType="begin"/>
      </w:r>
      <w:r>
        <w:instrText xml:space="preserve"> PAGEREF _Toc28477 </w:instrText>
      </w:r>
      <w:r>
        <w:fldChar w:fldCharType="separate"/>
      </w:r>
      <w:r>
        <w:t>19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_Toc26010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2.6、 </w:t>
      </w:r>
      <w:r>
        <w:rPr>
          <w:rFonts w:hint="eastAsia"/>
          <w:lang w:val="en-US" w:eastAsia="zh-CN"/>
        </w:rPr>
        <w:t>流</w:t>
      </w:r>
      <w:r>
        <w:rPr>
          <w:rFonts w:hint="eastAsia"/>
        </w:rPr>
        <w:t>标</w:t>
      </w:r>
      <w:r>
        <w:tab/>
      </w:r>
      <w:r>
        <w:fldChar w:fldCharType="begin"/>
      </w:r>
      <w:r>
        <w:instrText xml:space="preserve"> PAGEREF _Toc26010 </w:instrText>
      </w:r>
      <w:r>
        <w:fldChar w:fldCharType="separate"/>
      </w:r>
      <w:r>
        <w:t>19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34"/>
        <w:tabs>
          <w:tab w:val="right" w:leader="dot" w:pos="8312"/>
        </w:tabs>
      </w:pPr>
      <w:r>
        <w:rPr>
          <w:rFonts w:asciiTheme="minorHAnsi" w:hAnsiTheme="minorHAnsi" w:cstheme="minorHAnsi"/>
          <w:szCs w:val="20"/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_Toc25873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szCs w:val="30"/>
        </w:rPr>
        <w:t xml:space="preserve">2.7、 </w:t>
      </w:r>
      <w:r>
        <w:rPr>
          <w:rFonts w:hint="eastAsia"/>
          <w:lang w:val="en-US" w:eastAsia="zh-CN"/>
        </w:rPr>
        <w:t>废</w:t>
      </w:r>
      <w:r>
        <w:rPr>
          <w:rFonts w:hint="eastAsia"/>
        </w:rPr>
        <w:t>标</w:t>
      </w:r>
      <w:r>
        <w:tab/>
      </w:r>
      <w:r>
        <w:fldChar w:fldCharType="begin"/>
      </w:r>
      <w:r>
        <w:instrText xml:space="preserve"> PAGEREF _Toc25873 </w:instrText>
      </w:r>
      <w:r>
        <w:fldChar w:fldCharType="separate"/>
      </w:r>
      <w:r>
        <w:t>20</w:t>
      </w:r>
      <w:r>
        <w:fldChar w:fldCharType="end"/>
      </w: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  <w:r>
        <w:rPr>
          <w:rFonts w:asciiTheme="minorHAnsi" w:hAnsiTheme="minorHAnsi" w:cstheme="minorHAnsi"/>
          <w:szCs w:val="20"/>
        </w:rPr>
        <w:fldChar w:fldCharType="end"/>
      </w: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91"/>
        <w:spacing w:line="240" w:lineRule="auto"/>
        <w:ind w:firstLine="315"/>
        <w:rPr>
          <w:rFonts w:asciiTheme="minorHAnsi" w:hAnsiTheme="minorHAnsi" w:cstheme="minorHAnsi"/>
          <w:sz w:val="21"/>
          <w:szCs w:val="20"/>
        </w:rPr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91"/>
        <w:spacing w:line="240" w:lineRule="auto"/>
        <w:ind w:firstLine="0" w:firstLineChars="0"/>
      </w:pPr>
    </w:p>
    <w:p>
      <w:pPr>
        <w:pStyle w:val="3"/>
      </w:pPr>
      <w:bookmarkStart w:id="0" w:name="_Toc15198"/>
      <w:r>
        <w:rPr>
          <w:rFonts w:hint="eastAsia"/>
        </w:rPr>
        <w:t>评标端模块概述</w:t>
      </w:r>
      <w:bookmarkEnd w:id="0"/>
    </w:p>
    <w:p>
      <w:pPr>
        <w:pStyle w:val="4"/>
      </w:pPr>
      <w:bookmarkStart w:id="1" w:name="_Toc17058"/>
      <w:r>
        <w:rPr>
          <w:rFonts w:hint="eastAsia"/>
        </w:rPr>
        <w:t>评标端页面</w:t>
      </w:r>
      <w:bookmarkEnd w:id="1"/>
    </w:p>
    <w:p>
      <w:pPr>
        <w:ind w:firstLine="422"/>
        <w:rPr>
          <w:b/>
        </w:rPr>
      </w:pPr>
      <w:r>
        <w:rPr>
          <w:rFonts w:hint="eastAsia"/>
          <w:b/>
        </w:rPr>
        <w:t>登陆页面：</w:t>
      </w:r>
    </w:p>
    <w:p>
      <w:pPr>
        <w:pStyle w:val="97"/>
        <w:numPr>
          <w:ilvl w:val="0"/>
          <w:numId w:val="2"/>
        </w:numPr>
        <w:ind w:firstLineChars="0"/>
      </w:pPr>
      <w:r>
        <w:rPr>
          <w:rFonts w:hint="eastAsia"/>
        </w:rPr>
        <w:t>打开评标端页面，点击最右边‘专家评委登陆’图标</w:t>
      </w:r>
    </w:p>
    <w:p>
      <w:r>
        <w:drawing>
          <wp:inline distT="0" distB="0" distL="0" distR="0">
            <wp:extent cx="5278120" cy="2203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2.如图显示两种登陆方法：</w:t>
      </w:r>
    </w:p>
    <w:p>
      <w:r>
        <w:rPr>
          <w:rFonts w:hint="eastAsia"/>
        </w:rPr>
        <w:t>用户名登陆：使用用户名和密码登陆</w:t>
      </w:r>
    </w:p>
    <w:p>
      <w:r>
        <w:rPr>
          <w:rFonts w:hint="eastAsia"/>
        </w:rPr>
        <w:t>证书key登陆：使用专家自己办理的CA锁进行登录（后续开放）</w:t>
      </w:r>
    </w:p>
    <w:p>
      <w:r>
        <w:drawing>
          <wp:inline distT="0" distB="0" distL="0" distR="0">
            <wp:extent cx="5278120" cy="136017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6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8120" cy="17589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5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</w:rPr>
        <w:t>3.整体页面及审核流程</w:t>
      </w:r>
      <w:r>
        <w:rPr>
          <w:rFonts w:hint="eastAsia"/>
          <w:lang w:val="en-US" w:eastAsia="zh-CN"/>
        </w:rPr>
        <w:t>见左侧列表</w:t>
      </w:r>
    </w:p>
    <w:p>
      <w:pPr>
        <w:ind w:firstLine="0" w:firstLineChars="0"/>
      </w:pPr>
      <w:r>
        <w:drawing>
          <wp:inline distT="0" distB="0" distL="114300" distR="114300">
            <wp:extent cx="5266690" cy="2367280"/>
            <wp:effectExtent l="0" t="0" r="381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注：以上是房建综合评估法范本评标大体流程图。</w:t>
      </w:r>
    </w:p>
    <w:p>
      <w:pPr>
        <w:pStyle w:val="4"/>
        <w:numPr>
          <w:ilvl w:val="1"/>
          <w:numId w:val="0"/>
        </w:numPr>
      </w:pPr>
      <w:bookmarkStart w:id="2" w:name="_Toc2029"/>
      <w:r>
        <w:rPr>
          <w:rFonts w:hint="eastAsia"/>
        </w:rPr>
        <w:t>1.2、 评标准备</w:t>
      </w:r>
      <w:bookmarkEnd w:id="2"/>
    </w:p>
    <w:p/>
    <w:p>
      <w:pPr>
        <w:pStyle w:val="97"/>
        <w:numPr>
          <w:ilvl w:val="0"/>
          <w:numId w:val="3"/>
        </w:numPr>
        <w:ind w:firstLineChars="0"/>
      </w:pPr>
      <w:r>
        <w:rPr>
          <w:rFonts w:hint="eastAsia"/>
        </w:rPr>
        <w:t>登陆进评标系统之后，在今日开标中可以找到今天评标专家所要评的标。</w:t>
      </w:r>
    </w:p>
    <w:p>
      <w:pPr>
        <w:pStyle w:val="97"/>
        <w:ind w:left="780" w:firstLine="0" w:firstLineChars="0"/>
      </w:pPr>
    </w:p>
    <w:p>
      <w:r>
        <w:drawing>
          <wp:inline distT="0" distB="0" distL="0" distR="0">
            <wp:extent cx="5278120" cy="1303020"/>
            <wp:effectExtent l="19050" t="0" r="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0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/>
        </w:rPr>
        <w:t>点击‘进入项目’开始对评标做准备。</w:t>
      </w:r>
    </w:p>
    <w:p>
      <w:pPr>
        <w:tabs>
          <w:tab w:val="left" w:pos="312"/>
        </w:tabs>
        <w:ind w:left="420" w:firstLine="0" w:firstLineChars="0"/>
      </w:pPr>
    </w:p>
    <w:p>
      <w:pPr>
        <w:ind w:firstLine="0" w:firstLineChars="0"/>
      </w:pPr>
      <w:r>
        <w:drawing>
          <wp:inline distT="0" distB="0" distL="114300" distR="114300">
            <wp:extent cx="5266690" cy="2367280"/>
            <wp:effectExtent l="0" t="0" r="381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numPr>
          <w:ilvl w:val="0"/>
          <w:numId w:val="4"/>
        </w:numPr>
      </w:pPr>
      <w:r>
        <w:rPr>
          <w:rFonts w:hint="eastAsia"/>
        </w:rPr>
        <w:t>点击‘评标准备’进入评标准备阶段。</w:t>
      </w:r>
    </w:p>
    <w:p>
      <w:pPr>
        <w:pStyle w:val="97"/>
        <w:numPr>
          <w:ilvl w:val="0"/>
          <w:numId w:val="5"/>
        </w:numPr>
        <w:tabs>
          <w:tab w:val="left" w:pos="312"/>
        </w:tabs>
        <w:ind w:firstLineChars="0"/>
      </w:pPr>
      <w:r>
        <w:rPr>
          <w:rFonts w:hint="eastAsia"/>
        </w:rPr>
        <w:t>根据评委自身实际情况，确认回避单位，勾选单位之后，点击‘不需要回避’或‘需要回避’</w:t>
      </w:r>
    </w:p>
    <w:p>
      <w:pPr>
        <w:pStyle w:val="97"/>
        <w:numPr>
          <w:ilvl w:val="0"/>
          <w:numId w:val="5"/>
        </w:numPr>
        <w:tabs>
          <w:tab w:val="left" w:pos="312"/>
        </w:tabs>
        <w:ind w:firstLineChars="0"/>
      </w:pPr>
      <w:r>
        <w:rPr>
          <w:rFonts w:hint="eastAsia"/>
        </w:rPr>
        <w:t>在确认回避单位之后，进行推荐评委负责人（评委组长），选择您所要推荐的评委组长，点击‘确认推荐’</w:t>
      </w:r>
    </w:p>
    <w:p>
      <w:pPr>
        <w:ind w:left="420" w:leftChars="200" w:firstLine="0" w:firstLineChars="0"/>
      </w:pPr>
      <w:r>
        <w:drawing>
          <wp:inline distT="0" distB="0" distL="0" distR="0">
            <wp:extent cx="5278120" cy="2440940"/>
            <wp:effectExtent l="1905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41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</w:pPr>
      <w:r>
        <w:rPr>
          <w:rFonts w:hint="eastAsia"/>
        </w:rPr>
        <w:drawing>
          <wp:inline distT="0" distB="0" distL="0" distR="0">
            <wp:extent cx="5278120" cy="1649095"/>
            <wp:effectExtent l="19050" t="0" r="0" b="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4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</w:pPr>
    </w:p>
    <w:p>
      <w:pPr>
        <w:numPr>
          <w:ilvl w:val="0"/>
          <w:numId w:val="4"/>
        </w:numPr>
      </w:pPr>
      <w:r>
        <w:rPr>
          <w:rFonts w:hint="eastAsia"/>
        </w:rPr>
        <w:t>都完成后，等待开评标管理人员统一通知，评标开始。</w:t>
      </w:r>
    </w:p>
    <w:p>
      <w:pPr>
        <w:numPr>
          <w:ilvl w:val="0"/>
          <w:numId w:val="4"/>
        </w:numPr>
      </w:pPr>
      <w:r>
        <w:rPr>
          <w:rFonts w:hint="eastAsia"/>
          <w:lang w:val="en-US" w:eastAsia="zh-CN"/>
        </w:rPr>
        <w:t>查看招标文件。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661035"/>
            <wp:effectExtent l="0" t="0" r="3810" b="1206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选择需要查看的招标文件，并点击。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1769110"/>
            <wp:effectExtent l="0" t="0" r="3810" b="889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0"/>
        </w:numPr>
      </w:pPr>
      <w:bookmarkStart w:id="3" w:name="_Toc21753"/>
      <w:r>
        <w:rPr>
          <w:rFonts w:hint="eastAsia"/>
        </w:rPr>
        <w:t>1.3、 清标</w:t>
      </w:r>
      <w:bookmarkEnd w:id="3"/>
    </w:p>
    <w:p>
      <w:pPr>
        <w:numPr>
          <w:ilvl w:val="0"/>
          <w:numId w:val="6"/>
        </w:numPr>
      </w:pPr>
      <w:r>
        <w:rPr>
          <w:rFonts w:hint="eastAsia"/>
        </w:rPr>
        <w:t>点击下一步，进入清标阶段，点击‘清标’按钮，等待一段时间，会提示已完成。之后点击‘已完成’按钮。</w:t>
      </w:r>
    </w:p>
    <w:p>
      <w:pPr>
        <w:ind w:left="420" w:firstLine="0" w:firstLineChars="0"/>
      </w:pPr>
      <w:r>
        <w:drawing>
          <wp:inline distT="0" distB="0" distL="114300" distR="114300">
            <wp:extent cx="5266690" cy="1949450"/>
            <wp:effectExtent l="0" t="0" r="3810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rcRect t="11436" b="1240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8120" cy="215519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5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8120" cy="218122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8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97"/>
        <w:numPr>
          <w:ilvl w:val="0"/>
          <w:numId w:val="3"/>
        </w:numPr>
        <w:ind w:firstLineChars="0"/>
      </w:pPr>
      <w:r>
        <w:rPr>
          <w:rFonts w:hint="eastAsia"/>
        </w:rPr>
        <w:t>对于投标文件的各项检查：在上方按钮中，点击过后可逐一排查。正上方会显示多少条错误数据，右上方可选哪家投标单位。</w:t>
      </w:r>
    </w:p>
    <w:p>
      <w:pPr>
        <w:pStyle w:val="97"/>
        <w:ind w:left="780" w:firstLine="0" w:firstLineChars="0"/>
      </w:pPr>
    </w:p>
    <w:p>
      <w:pPr>
        <w:ind w:left="420" w:firstLine="0" w:firstLineChars="0"/>
      </w:pPr>
      <w:r>
        <w:drawing>
          <wp:inline distT="0" distB="0" distL="0" distR="0">
            <wp:extent cx="5278120" cy="1862455"/>
            <wp:effectExtent l="19050" t="0" r="0" b="0"/>
            <wp:docPr id="2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6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8120" cy="2165985"/>
            <wp:effectExtent l="19050" t="0" r="0" b="0"/>
            <wp:docPr id="3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6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</w:p>
    <w:p>
      <w:pPr>
        <w:pStyle w:val="97"/>
        <w:numPr>
          <w:ilvl w:val="0"/>
          <w:numId w:val="3"/>
        </w:numPr>
        <w:ind w:firstLineChars="0"/>
      </w:pPr>
      <w:r>
        <w:rPr>
          <w:rFonts w:hint="eastAsia"/>
        </w:rPr>
        <w:t>点击‘清标结果’可以查看到错误信息与投标报价信息等:</w:t>
      </w:r>
    </w:p>
    <w:p>
      <w:pPr>
        <w:ind w:left="420" w:firstLine="0" w:firstLineChars="0"/>
      </w:pPr>
      <w:r>
        <w:drawing>
          <wp:inline distT="0" distB="0" distL="0" distR="0">
            <wp:extent cx="5278120" cy="214693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</w:pPr>
    </w:p>
    <w:p>
      <w:pPr>
        <w:pStyle w:val="97"/>
        <w:numPr>
          <w:ilvl w:val="0"/>
          <w:numId w:val="7"/>
        </w:numPr>
        <w:ind w:firstLineChars="0"/>
      </w:pPr>
      <w:r>
        <w:rPr>
          <w:rFonts w:hint="eastAsia"/>
        </w:rPr>
        <w:t>若无问题，则点击右上角下一步按钮，进行下一步评审</w:t>
      </w:r>
    </w:p>
    <w:p>
      <w:pPr>
        <w:pStyle w:val="97"/>
        <w:ind w:left="780" w:firstLine="0" w:firstLineChars="0"/>
      </w:pPr>
    </w:p>
    <w:p>
      <w:r>
        <w:drawing>
          <wp:inline distT="0" distB="0" distL="0" distR="0">
            <wp:extent cx="5278120" cy="20828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8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pStyle w:val="97"/>
        <w:numPr>
          <w:ilvl w:val="0"/>
          <w:numId w:val="5"/>
        </w:numPr>
        <w:ind w:firstLineChars="0"/>
      </w:pPr>
      <w:r>
        <w:rPr>
          <w:rFonts w:hint="eastAsia"/>
        </w:rPr>
        <w:t>若存在问题，则点击坐上角菜单按钮，如下图所示：</w:t>
      </w:r>
    </w:p>
    <w:p>
      <w:r>
        <w:drawing>
          <wp:inline distT="0" distB="0" distL="0" distR="0">
            <wp:extent cx="5278120" cy="226504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6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点开后，共有六项功能，显示如下：</w:t>
      </w:r>
    </w:p>
    <w:p>
      <w:r>
        <w:drawing>
          <wp:inline distT="0" distB="0" distL="0" distR="0">
            <wp:extent cx="5278120" cy="227711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开标记录：点击开标记录，可以查看该标段的开标记录表</w:t>
      </w:r>
    </w:p>
    <w:p>
      <w:r>
        <w:drawing>
          <wp:inline distT="0" distB="0" distL="0" distR="0">
            <wp:extent cx="5278120" cy="2476500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招标文件：点击招标文件过后，会弹出新网页对话框，显示改标段的招标文件，如下图所示：</w:t>
      </w:r>
    </w:p>
    <w:p>
      <w:pPr>
        <w:ind w:firstLine="0" w:firstLineChars="0"/>
      </w:pPr>
      <w:r>
        <w:drawing>
          <wp:inline distT="0" distB="0" distL="0" distR="0">
            <wp:extent cx="5278120" cy="1811020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1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r>
        <w:rPr>
          <w:rFonts w:hint="eastAsia"/>
        </w:rPr>
        <w:t>投标文件：点击投标文件过后，会弹出新网页对话框，选取投标单位，会显示该投标单位的投标文件，如下图所示：</w:t>
      </w: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278120" cy="2000885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0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278120" cy="241363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控制价：点击‘控制价’按钮后，新弹出窗口可以显示控制价文件。</w:t>
      </w:r>
    </w:p>
    <w:p>
      <w:r>
        <w:rPr>
          <w:rFonts w:hint="eastAsia"/>
        </w:rPr>
        <w:t>澄清：点击‘澄清’按钮，弹出评标澄清质询发送框，选择查收单位，回答期限，完善内容后，点击发出澄清即可。如下图所示：</w:t>
      </w:r>
    </w:p>
    <w:p>
      <w:pPr>
        <w:ind w:firstLine="0" w:firstLineChars="0"/>
      </w:pPr>
      <w:r>
        <w:rPr>
          <w:rFonts w:hint="eastAsia"/>
        </w:rPr>
        <w:drawing>
          <wp:inline distT="0" distB="0" distL="0" distR="0">
            <wp:extent cx="5278120" cy="225107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5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</w:rPr>
      </w:pPr>
      <w:r>
        <w:rPr>
          <w:rFonts w:hint="eastAsia"/>
          <w:color w:val="FF0000"/>
        </w:rPr>
        <w:t>废标：废标功能需要极其注意！使用该功能后，被废标的投标单位将不参与后续的评标。</w:t>
      </w:r>
    </w:p>
    <w:p>
      <w:pPr>
        <w:ind w:firstLine="0"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     点击</w:t>
      </w:r>
      <w:bookmarkStart w:id="4" w:name="_Toc15613"/>
      <w:r>
        <w:rPr>
          <w:rFonts w:hint="eastAsia"/>
          <w:color w:val="000000" w:themeColor="text1"/>
        </w:rPr>
        <w:t>‘废标’按钮后，会弹出新的窗口，窗口内容会将各个投标单位排列在上面。</w:t>
      </w:r>
    </w:p>
    <w:p>
      <w:pPr>
        <w:ind w:firstLine="0"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drawing>
          <wp:inline distT="0" distB="0" distL="0" distR="0">
            <wp:extent cx="5276850" cy="207645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000000" w:themeColor="text1"/>
        </w:rPr>
      </w:pPr>
      <w:r>
        <w:rPr>
          <w:rFonts w:hint="eastAsia"/>
          <w:color w:val="000000" w:themeColor="text1"/>
        </w:rPr>
        <w:t>点击其中一个投标单位，选择废标节点，选择废标条款，输入废标内容后点击‘废标’，即该单位已经被废标。</w:t>
      </w:r>
    </w:p>
    <w:p>
      <w:pPr>
        <w:ind w:firstLine="0" w:firstLineChars="0"/>
        <w:rPr>
          <w:szCs w:val="28"/>
        </w:rPr>
      </w:pPr>
      <w:r>
        <w:rPr>
          <w:rFonts w:hint="eastAsia"/>
          <w:color w:val="000000" w:themeColor="text1"/>
        </w:rPr>
        <w:drawing>
          <wp:inline distT="0" distB="0" distL="0" distR="0">
            <wp:extent cx="5278120" cy="2069465"/>
            <wp:effectExtent l="19050" t="0" r="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7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"/>
      <w:bookmarkStart w:id="5" w:name="_Toc17888"/>
      <w:r>
        <w:rPr>
          <w:rFonts w:hint="eastAsia"/>
          <w:szCs w:val="28"/>
        </w:rPr>
        <w:t>1.5</w:t>
      </w:r>
      <w:bookmarkEnd w:id="5"/>
      <w:r>
        <w:rPr>
          <w:rFonts w:hint="eastAsia"/>
          <w:szCs w:val="28"/>
        </w:rPr>
        <w:t xml:space="preserve"> 取消废标：</w:t>
      </w:r>
    </w:p>
    <w:p>
      <w:pPr>
        <w:ind w:firstLine="0" w:firstLineChars="0"/>
        <w:rPr>
          <w:color w:val="000000" w:themeColor="text1"/>
        </w:rPr>
      </w:pPr>
      <w:r>
        <w:rPr>
          <w:rFonts w:hint="eastAsia"/>
          <w:szCs w:val="28"/>
        </w:rPr>
        <w:t>勾选要取消废标的单位，选择‘取消废标’或者‘打印废标通知书’</w:t>
      </w:r>
    </w:p>
    <w:p>
      <w:pPr>
        <w:ind w:firstLine="0" w:firstLineChars="0"/>
      </w:pPr>
    </w:p>
    <w:p>
      <w:pPr>
        <w:pStyle w:val="4"/>
        <w:numPr>
          <w:ilvl w:val="1"/>
          <w:numId w:val="0"/>
        </w:numPr>
      </w:pPr>
      <w:bookmarkStart w:id="6" w:name="_Toc19579"/>
      <w:r>
        <w:rPr>
          <w:rFonts w:hint="eastAsia"/>
        </w:rPr>
        <w:t>1.4、 形式、资审、响应性评审阶段</w:t>
      </w:r>
      <w:bookmarkEnd w:id="6"/>
    </w:p>
    <w:p>
      <w:pPr>
        <w:ind w:firstLine="422"/>
        <w:rPr>
          <w:b/>
        </w:rPr>
      </w:pPr>
      <w:r>
        <w:rPr>
          <w:rFonts w:hint="eastAsia"/>
          <w:b/>
        </w:rPr>
        <w:t>形式评审、资审、响应性评审</w:t>
      </w:r>
    </w:p>
    <w:p>
      <w:r>
        <w:rPr>
          <w:rFonts w:hint="eastAsia"/>
        </w:rPr>
        <w:t>1、该项评审只分为‘通过’和‘不通过’两个选项。</w:t>
      </w:r>
    </w:p>
    <w:p>
      <w:r>
        <w:rPr>
          <w:rFonts w:hint="eastAsia"/>
        </w:rPr>
        <w:t>2、点击投标单位后方三角图标可以切换单位。</w:t>
      </w:r>
    </w:p>
    <w:p>
      <w:r>
        <w:rPr>
          <w:rFonts w:hint="eastAsia"/>
        </w:rPr>
        <w:t>3、都勾选之后点击确认提交或者添加保存。</w:t>
      </w:r>
    </w:p>
    <w:p/>
    <w:p>
      <w:r>
        <w:rPr>
          <w:rFonts w:hint="eastAsia"/>
        </w:rPr>
        <w:drawing>
          <wp:inline distT="0" distB="0" distL="0" distR="0">
            <wp:extent cx="5278120" cy="2385695"/>
            <wp:effectExtent l="0" t="0" r="17780" b="146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在评审的同时点击左下方投标文件节点，可以直接查看投标文件内容。</w:t>
      </w:r>
    </w:p>
    <w:p>
      <w:pPr>
        <w:bidi w:val="0"/>
      </w:pPr>
      <w:r>
        <w:drawing>
          <wp:inline distT="0" distB="0" distL="114300" distR="114300">
            <wp:extent cx="5273040" cy="2636520"/>
            <wp:effectExtent l="0" t="0" r="3810" b="1143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bidi w:val="0"/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将鼠标放置右侧投标文件中，滑动鼠标滑轮可对投标文件内容放大缩小。</w:t>
      </w:r>
    </w:p>
    <w:p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527935"/>
            <wp:effectExtent l="0" t="0" r="6985" b="571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0" w:leftChars="0" w:firstLine="420" w:firstLineChars="200"/>
      </w:pPr>
      <w:r>
        <w:rPr>
          <w:rFonts w:hint="eastAsia"/>
        </w:rPr>
        <w:t>最后点击形式（</w:t>
      </w:r>
      <w:r>
        <w:rPr>
          <w:rFonts w:hint="eastAsia"/>
          <w:b/>
        </w:rPr>
        <w:t>资审、响应性评审）</w:t>
      </w:r>
      <w:r>
        <w:rPr>
          <w:rFonts w:hint="eastAsia"/>
        </w:rPr>
        <w:t>评审汇总，确认无误后点击确定，或选择评委让其重新评审。</w:t>
      </w:r>
    </w:p>
    <w:p/>
    <w:p>
      <w:r>
        <w:drawing>
          <wp:inline distT="0" distB="0" distL="0" distR="0">
            <wp:extent cx="5278120" cy="1885315"/>
            <wp:effectExtent l="1905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8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在响应性评审最后有一个汇总，响应性评审汇总、废标结果查看、标价比较表。</w:t>
      </w:r>
    </w:p>
    <w:p>
      <w:r>
        <w:rPr>
          <w:rFonts w:hint="eastAsia"/>
        </w:rPr>
        <w:t>评委可以修改其评审价格。</w:t>
      </w:r>
    </w:p>
    <w:p>
      <w:r>
        <w:drawing>
          <wp:inline distT="0" distB="0" distL="0" distR="0">
            <wp:extent cx="5276850" cy="1260475"/>
            <wp:effectExtent l="19050" t="0" r="0" b="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3305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color w:val="FF0000"/>
        </w:rPr>
      </w:pPr>
      <w:r>
        <w:rPr>
          <w:rFonts w:hint="eastAsia"/>
          <w:color w:val="FF0000"/>
        </w:rPr>
        <w:t>注：每一种评审结束之后，都需要组长汇总确认，在确认之后点击下一</w:t>
      </w:r>
      <w:r>
        <w:rPr>
          <w:rFonts w:hint="eastAsia"/>
          <w:color w:val="FF0000"/>
          <w:lang w:val="en-US" w:eastAsia="zh-CN"/>
        </w:rPr>
        <w:t>环节菜单</w:t>
      </w:r>
      <w:r>
        <w:rPr>
          <w:rFonts w:hint="eastAsia"/>
          <w:color w:val="FF0000"/>
        </w:rPr>
        <w:t>，进行下一种评审。点击下一步需要评审的项，之后点击确定。</w:t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0" distR="0">
            <wp:extent cx="5278120" cy="1899285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9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pStyle w:val="4"/>
        <w:numPr>
          <w:ilvl w:val="0"/>
          <w:numId w:val="0"/>
        </w:numPr>
      </w:pPr>
      <w:bookmarkStart w:id="7" w:name="_Toc27063"/>
      <w:r>
        <w:t>1.5</w:t>
      </w:r>
      <w:r>
        <w:rPr>
          <w:rFonts w:hint="eastAsia"/>
        </w:rPr>
        <w:t>、 经济、技术评审阶段</w:t>
      </w:r>
      <w:bookmarkEnd w:id="7"/>
    </w:p>
    <w:p>
      <w:r>
        <w:rPr>
          <w:rFonts w:hint="eastAsia"/>
        </w:rPr>
        <w:t>1、形式评审、资审、响应性评审完成后，进入经济、技术评审阶段。</w:t>
      </w:r>
    </w:p>
    <w:p>
      <w:r>
        <w:rPr>
          <w:rFonts w:hint="eastAsia"/>
        </w:rPr>
        <w:drawing>
          <wp:inline distT="0" distB="0" distL="0" distR="0">
            <wp:extent cx="5278120" cy="2498725"/>
            <wp:effectExtent l="19050" t="0" r="0" b="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9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0"/>
          <w:numId w:val="6"/>
        </w:numPr>
        <w:ind w:firstLineChars="0"/>
      </w:pPr>
      <w:r>
        <w:rPr>
          <w:rFonts w:hint="eastAsia"/>
        </w:rPr>
        <w:t>在经济、技术评审阶段，针对某一项评标点可以进行详细的分数打分。点击投标单位后方三角按钮可以进行切换下一家投标单位、点击评分点后方铅笔按钮，可以输入评分原因，点击方框输入评分，确认无误后点击确认提交。</w:t>
      </w:r>
    </w:p>
    <w:p>
      <w:pPr>
        <w:pStyle w:val="97"/>
        <w:ind w:left="420" w:firstLine="0" w:firstLineChars="0"/>
      </w:pPr>
      <w:r>
        <w:rPr>
          <w:rFonts w:hint="eastAsia"/>
        </w:rPr>
        <w:drawing>
          <wp:inline distT="0" distB="0" distL="0" distR="0">
            <wp:extent cx="5278120" cy="2267585"/>
            <wp:effectExtent l="19050" t="0" r="0" b="0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6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97"/>
        <w:ind w:left="420" w:firstLine="0" w:firstLineChars="0"/>
      </w:pPr>
    </w:p>
    <w:p>
      <w:pPr>
        <w:pStyle w:val="136"/>
        <w:numPr>
          <w:ilvl w:val="0"/>
          <w:numId w:val="6"/>
        </w:numPr>
        <w:ind w:firstLine="420"/>
      </w:pPr>
      <w:r>
        <w:rPr>
          <w:rFonts w:hint="eastAsia"/>
        </w:rPr>
        <w:t>点击下拉框可以直接切换到某一投标单位，方便专家评标，点击投标单位会切换到该单位打分界面。</w:t>
      </w:r>
    </w:p>
    <w:p>
      <w:pPr>
        <w:pStyle w:val="136"/>
        <w:ind w:left="420"/>
      </w:pPr>
      <w:r>
        <w:rPr>
          <w:rFonts w:hint="eastAsia"/>
        </w:rPr>
        <w:drawing>
          <wp:inline distT="0" distB="0" distL="0" distR="0">
            <wp:extent cx="5278120" cy="2118995"/>
            <wp:effectExtent l="19050" t="0" r="0" b="0"/>
            <wp:docPr id="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1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6"/>
        <w:numPr>
          <w:ilvl w:val="0"/>
          <w:numId w:val="3"/>
        </w:numPr>
      </w:pPr>
      <w:r>
        <w:rPr>
          <w:rFonts w:hint="eastAsia"/>
        </w:rPr>
        <w:t>在每一个评标环节完成后都有一个汇总（组长页面），由组长确认是否进入下一步，还是退回某个专家的评审。确认无误后店家确认，若退回则直接选择专家退回重评。</w:t>
      </w:r>
    </w:p>
    <w:p>
      <w:pPr>
        <w:pStyle w:val="136"/>
        <w:ind w:firstLine="420" w:firstLineChars="200"/>
      </w:pPr>
      <w:r>
        <w:rPr>
          <w:rFonts w:hint="eastAsia"/>
        </w:rPr>
        <w:drawing>
          <wp:inline distT="0" distB="0" distL="0" distR="0">
            <wp:extent cx="5278120" cy="2212340"/>
            <wp:effectExtent l="19050" t="0" r="0" b="0"/>
            <wp:docPr id="4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1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6"/>
        <w:ind w:firstLine="420" w:firstLineChars="200"/>
      </w:pPr>
    </w:p>
    <w:p>
      <w:pPr>
        <w:rPr>
          <w:color w:val="FF0000"/>
        </w:rPr>
      </w:pPr>
      <w:r>
        <w:rPr>
          <w:rFonts w:hint="eastAsia"/>
          <w:color w:val="FF0000"/>
        </w:rPr>
        <w:t>注：每一种评审结束之后，都需要组长汇总确认，在确认之后点击下一步，进行下一种评审。点击下一步需要评审的项，之后点击确定。</w:t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0" distR="0">
            <wp:extent cx="5278120" cy="1899285"/>
            <wp:effectExtent l="1905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9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ind w:firstLine="0" w:firstLineChars="0"/>
        <w:rPr>
          <w:b/>
        </w:rPr>
      </w:pPr>
    </w:p>
    <w:p>
      <w:pPr>
        <w:pStyle w:val="3"/>
      </w:pPr>
      <w:bookmarkStart w:id="8" w:name="_Toc26538"/>
      <w:r>
        <w:rPr>
          <w:rFonts w:hint="eastAsia"/>
        </w:rPr>
        <w:t>评审结果</w:t>
      </w:r>
      <w:bookmarkEnd w:id="8"/>
    </w:p>
    <w:p>
      <w:pPr>
        <w:pStyle w:val="4"/>
      </w:pPr>
      <w:bookmarkStart w:id="9" w:name="_Toc2574"/>
      <w:r>
        <w:rPr>
          <w:rFonts w:hint="eastAsia"/>
        </w:rPr>
        <w:t>最终排名</w:t>
      </w:r>
      <w:bookmarkEnd w:id="9"/>
    </w:p>
    <w:p>
      <w:pPr>
        <w:numPr>
          <w:ilvl w:val="0"/>
          <w:numId w:val="9"/>
        </w:numPr>
      </w:pPr>
      <w:r>
        <w:rPr>
          <w:rFonts w:hint="eastAsia"/>
        </w:rPr>
        <w:t>点击‘最终排名’，显示出其页面内容，点击‘汇总排名’，提示‘最终排名汇总成功’后点击确定。确认无误后点击‘组长确认’。</w:t>
      </w:r>
    </w:p>
    <w:p>
      <w:pPr>
        <w:tabs>
          <w:tab w:val="left" w:pos="312"/>
        </w:tabs>
        <w:ind w:firstLine="0" w:firstLineChars="0"/>
      </w:pPr>
      <w:r>
        <w:drawing>
          <wp:inline distT="0" distB="0" distL="0" distR="0">
            <wp:extent cx="5278120" cy="213106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3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bookmarkStart w:id="10" w:name="_Toc13973"/>
      <w:r>
        <w:rPr>
          <w:rFonts w:hint="eastAsia"/>
        </w:rPr>
        <w:t>评标报告编辑</w:t>
      </w:r>
      <w:bookmarkEnd w:id="10"/>
    </w:p>
    <w:p>
      <w:pPr>
        <w:pStyle w:val="97"/>
        <w:numPr>
          <w:ilvl w:val="0"/>
          <w:numId w:val="10"/>
        </w:numPr>
        <w:ind w:firstLineChars="0"/>
        <w:rPr>
          <w:rFonts w:hint="eastAsia"/>
        </w:rPr>
      </w:pPr>
      <w:r>
        <w:rPr>
          <w:rFonts w:hint="eastAsia"/>
        </w:rPr>
        <w:t>选择评标报告模板</w:t>
      </w:r>
    </w:p>
    <w:p>
      <w:pPr>
        <w:pStyle w:val="97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8120" cy="216598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6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0"/>
          <w:numId w:val="10"/>
        </w:numPr>
        <w:ind w:firstLineChars="0"/>
        <w:rPr>
          <w:rFonts w:hint="eastAsia"/>
        </w:rPr>
      </w:pPr>
      <w:r>
        <w:rPr>
          <w:rFonts w:hint="eastAsia"/>
        </w:rPr>
        <w:t>填写评标报告信息后，保存报告</w:t>
      </w:r>
    </w:p>
    <w:p>
      <w:pPr>
        <w:pStyle w:val="97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8120" cy="229933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9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0"/>
          <w:numId w:val="10"/>
        </w:numPr>
        <w:ind w:firstLineChars="0"/>
        <w:rPr>
          <w:rFonts w:hint="eastAsia"/>
        </w:rPr>
      </w:pPr>
      <w:r>
        <w:rPr>
          <w:rFonts w:hint="eastAsia"/>
        </w:rPr>
        <w:t>报告保存没有问题后，提交报告</w:t>
      </w:r>
    </w:p>
    <w:p>
      <w:pPr>
        <w:pStyle w:val="97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8120" cy="230124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7"/>
        <w:numPr>
          <w:ilvl w:val="0"/>
          <w:numId w:val="10"/>
        </w:numPr>
        <w:ind w:firstLineChars="0"/>
        <w:rPr>
          <w:rFonts w:hint="eastAsia"/>
        </w:rPr>
      </w:pPr>
      <w:r>
        <w:rPr>
          <w:rFonts w:hint="eastAsia"/>
        </w:rPr>
        <w:t>如果评标报告有问题，可以重置提交</w:t>
      </w:r>
    </w:p>
    <w:p>
      <w:pPr>
        <w:pStyle w:val="97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8120" cy="22225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2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</w:rPr>
      </w:pPr>
    </w:p>
    <w:p>
      <w:pPr>
        <w:pStyle w:val="4"/>
      </w:pPr>
      <w:bookmarkStart w:id="11" w:name="_Toc31898"/>
      <w:r>
        <w:rPr>
          <w:rFonts w:hint="eastAsia"/>
        </w:rPr>
        <w:t>评委签章</w:t>
      </w:r>
      <w:bookmarkEnd w:id="11"/>
    </w:p>
    <w:p>
      <w:pPr>
        <w:numPr>
          <w:ilvl w:val="0"/>
          <w:numId w:val="11"/>
        </w:numPr>
        <w:ind w:firstLine="0" w:firstLineChars="0"/>
      </w:pPr>
      <w:r>
        <w:rPr>
          <w:rFonts w:hint="eastAsia"/>
        </w:rPr>
        <w:t xml:space="preserve"> 点击‘评委签章’显示评委签章界面，点击后方‘操作’一列的签章按钮，弹出签章页面，点击左上方‘点击签章’进行签章。</w:t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278120" cy="2498090"/>
            <wp:effectExtent l="19050" t="0" r="0" b="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9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0" distR="0">
            <wp:extent cx="5278120" cy="2465705"/>
            <wp:effectExtent l="19050" t="0" r="0" b="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4"/>
      </w:pPr>
      <w:bookmarkStart w:id="12" w:name="_Toc29614"/>
      <w:r>
        <w:rPr>
          <w:rFonts w:hint="eastAsia"/>
        </w:rPr>
        <w:t>评标结束</w:t>
      </w:r>
      <w:bookmarkEnd w:id="12"/>
    </w:p>
    <w:p>
      <w:pPr>
        <w:pStyle w:val="97"/>
        <w:numPr>
          <w:ilvl w:val="0"/>
          <w:numId w:val="12"/>
        </w:numPr>
        <w:ind w:firstLineChars="0"/>
        <w:rPr>
          <w:rFonts w:hint="eastAsia"/>
        </w:rPr>
      </w:pPr>
      <w:r>
        <w:rPr>
          <w:rFonts w:hint="eastAsia"/>
        </w:rPr>
        <w:t>点击‘评标结束’显示评标界面，点击下方‘评标结束’即整个评标过程结束。</w:t>
      </w:r>
    </w:p>
    <w:p>
      <w:pPr>
        <w:pStyle w:val="97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8120" cy="199263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7"/>
        <w:ind w:left="360" w:firstLine="0" w:firstLineChars="0"/>
      </w:pPr>
      <w:r>
        <w:drawing>
          <wp:inline distT="0" distB="0" distL="0" distR="0">
            <wp:extent cx="5278120" cy="22009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3" w:name="_Toc28477"/>
      <w:r>
        <w:rPr>
          <w:rFonts w:hint="eastAsia"/>
        </w:rPr>
        <w:t>评标报告</w:t>
      </w:r>
      <w:bookmarkEnd w:id="13"/>
    </w:p>
    <w:p>
      <w:pPr>
        <w:pStyle w:val="97"/>
        <w:numPr>
          <w:ilvl w:val="0"/>
          <w:numId w:val="13"/>
        </w:numPr>
        <w:ind w:firstLineChars="0"/>
      </w:pPr>
      <w:r>
        <w:rPr>
          <w:rFonts w:hint="eastAsia"/>
        </w:rPr>
        <w:t>点击‘评标报告’显示评标报告页面，有‘批量打印’、‘异常情况’两个功能。</w:t>
      </w:r>
    </w:p>
    <w:p>
      <w:pPr>
        <w:pStyle w:val="97"/>
        <w:ind w:left="1000" w:firstLine="0" w:firstLineChars="0"/>
      </w:pPr>
      <w:r>
        <w:rPr>
          <w:rFonts w:hint="eastAsia"/>
        </w:rPr>
        <w:t>批量打印：勾选需要打印的内容，点击‘批量打印’后，自动打印所勾选的内容。</w:t>
      </w:r>
    </w:p>
    <w:p>
      <w:pPr>
        <w:pStyle w:val="97"/>
        <w:ind w:left="1000" w:firstLine="0" w:firstLineChars="0"/>
      </w:pPr>
      <w:r>
        <w:rPr>
          <w:rFonts w:hint="eastAsia"/>
        </w:rPr>
        <w:t>异常情况：可以输入异常情况内容作为记录。</w:t>
      </w:r>
    </w:p>
    <w:p>
      <w:r>
        <w:drawing>
          <wp:inline distT="0" distB="0" distL="0" distR="0">
            <wp:extent cx="5276850" cy="1655445"/>
            <wp:effectExtent l="19050" t="0" r="0" b="0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b="3028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5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8120" cy="2597785"/>
            <wp:effectExtent l="19050" t="0" r="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4" w:name="_Toc26010"/>
      <w:r>
        <w:rPr>
          <w:rFonts w:hint="eastAsia"/>
          <w:lang w:val="en-US" w:eastAsia="zh-CN"/>
        </w:rPr>
        <w:t>流</w:t>
      </w:r>
      <w:r>
        <w:rPr>
          <w:rFonts w:hint="eastAsia"/>
        </w:rPr>
        <w:t>标</w:t>
      </w:r>
      <w:bookmarkEnd w:id="1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如若投标单位不足三家的情况，则需要评委组长去点流标按钮进行流标，然后在流标报告进行签章。</w:t>
      </w:r>
    </w:p>
    <w:p>
      <w:r>
        <w:drawing>
          <wp:inline distT="0" distB="0" distL="114300" distR="114300">
            <wp:extent cx="5274945" cy="1600200"/>
            <wp:effectExtent l="0" t="0" r="1905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rcRect b="235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输入流标原因，点击确定流标</w:t>
      </w:r>
    </w:p>
    <w:p>
      <w:r>
        <w:drawing>
          <wp:inline distT="0" distB="0" distL="114300" distR="114300">
            <wp:extent cx="5274310" cy="1903730"/>
            <wp:effectExtent l="0" t="0" r="2540" b="127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15" w:name="_Toc25873"/>
      <w:r>
        <w:rPr>
          <w:rFonts w:hint="eastAsia"/>
          <w:lang w:val="en-US" w:eastAsia="zh-CN"/>
        </w:rPr>
        <w:t>废</w:t>
      </w:r>
      <w:r>
        <w:rPr>
          <w:rFonts w:hint="eastAsia"/>
        </w:rPr>
        <w:t>标</w:t>
      </w:r>
      <w:bookmarkEnd w:id="1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因某一投标单位不符合评标办法要求导致废标，则需要评委组长去点废标按钮进行废标，选择单位，选择废标节点，输入废标原因，点击废标。</w:t>
      </w:r>
    </w:p>
    <w:p>
      <w:r>
        <w:drawing>
          <wp:inline distT="0" distB="0" distL="114300" distR="114300">
            <wp:extent cx="5273040" cy="1509395"/>
            <wp:effectExtent l="0" t="0" r="3810" b="1460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1927860"/>
            <wp:effectExtent l="0" t="0" r="3810" b="1524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797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themeColor="accent3" w:sz="24" w:space="5"/>
      </w:pBdr>
      <w:wordWrap w:val="0"/>
      <w:spacing w:line="240" w:lineRule="auto"/>
      <w:ind w:firstLine="360"/>
      <w:jc w:val="center"/>
      <w:rPr>
        <w:lang w:val="zh-CN"/>
      </w:rPr>
    </w:pPr>
    <w:r>
      <w:rPr>
        <w:rFonts w:hint="eastAsia"/>
      </w:rPr>
      <w:t xml:space="preserve">               技术支持—</w:t>
    </w:r>
    <w:sdt>
      <w:sdtPr>
        <w:rPr>
          <w:lang w:val="zh-CN"/>
        </w:rPr>
        <w:alias w:val="公司"/>
        <w:id w:val="270665196"/>
        <w:placeholder>
          <w:docPart w:val="BFC08D7058A044A281CBBF0460E00065"/>
        </w:placeholder>
        <w15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lang w:val="zh-CN"/>
        </w:rPr>
      </w:sdtEndPr>
      <w:sdtContent>
        <w:r>
          <w:rPr>
            <w:rFonts w:hint="eastAsia"/>
            <w:lang w:val="zh-CN"/>
          </w:rPr>
          <w:t xml:space="preserve">江苏国泰新点软件有限公司               </w:t>
        </w:r>
      </w:sdtContent>
    </w:sdt>
    <w:r>
      <w:rPr>
        <w:lang w:val="zh-CN"/>
      </w:rPr>
      <w:fldChar w:fldCharType="begin"/>
    </w:r>
    <w:r>
      <w:rPr>
        <w:lang w:val="zh-CN"/>
      </w:rPr>
      <w:instrText xml:space="preserve">PAGE   \* MERGEFORMAT</w:instrText>
    </w:r>
    <w:r>
      <w:rPr>
        <w:lang w:val="zh-CN"/>
      </w:rPr>
      <w:fldChar w:fldCharType="separate"/>
    </w:r>
    <w:r>
      <w:rPr>
        <w:lang w:val="zh-CN"/>
      </w:rPr>
      <w:t>5</w:t>
    </w:r>
    <w:r>
      <w:rPr>
        <w:lang w:val="zh-CN"/>
      </w:rP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152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0" distR="0">
          <wp:extent cx="600075" cy="304800"/>
          <wp:effectExtent l="19050" t="0" r="9525" b="0"/>
          <wp:docPr id="1188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" name="图片 4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</w:rPr>
      <w:t xml:space="preserve">             黑龙江省公共资源评标系统———</w:t>
    </w:r>
    <w:r>
      <w:rPr>
        <w:rFonts w:hint="eastAsia" w:ascii="Cambria" w:hAnsi="Cambria"/>
      </w:rPr>
      <w:t xml:space="preserve">评委评标端操作手册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420"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97D4F4"/>
    <w:multiLevelType w:val="singleLevel"/>
    <w:tmpl w:val="9297D4F4"/>
    <w:lvl w:ilvl="0" w:tentative="0">
      <w:start w:val="4"/>
      <w:numFmt w:val="decimal"/>
      <w:suff w:val="space"/>
      <w:lvlText w:val="%1、"/>
      <w:lvlJc w:val="left"/>
    </w:lvl>
  </w:abstractNum>
  <w:abstractNum w:abstractNumId="1">
    <w:nsid w:val="BD620500"/>
    <w:multiLevelType w:val="singleLevel"/>
    <w:tmpl w:val="BD62050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0295D94"/>
    <w:multiLevelType w:val="singleLevel"/>
    <w:tmpl w:val="E0295D94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100ED4BB"/>
    <w:multiLevelType w:val="singleLevel"/>
    <w:tmpl w:val="100ED4BB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136E1F44"/>
    <w:multiLevelType w:val="multilevel"/>
    <w:tmpl w:val="136E1F44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50B4353"/>
    <w:multiLevelType w:val="multilevel"/>
    <w:tmpl w:val="250B4353"/>
    <w:lvl w:ilvl="0" w:tentative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28F453B7"/>
    <w:multiLevelType w:val="multilevel"/>
    <w:tmpl w:val="28F453B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D2E04CF"/>
    <w:multiLevelType w:val="multilevel"/>
    <w:tmpl w:val="2D2E04CF"/>
    <w:lvl w:ilvl="0" w:tentative="0">
      <w:start w:val="1"/>
      <w:numFmt w:val="decimal"/>
      <w:lvlText w:val="%1、"/>
      <w:lvlJc w:val="left"/>
      <w:pPr>
        <w:ind w:left="78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2" w:hanging="420"/>
      </w:pPr>
    </w:lvl>
    <w:lvl w:ilvl="2" w:tentative="0">
      <w:start w:val="1"/>
      <w:numFmt w:val="lowerRoman"/>
      <w:lvlText w:val="%3."/>
      <w:lvlJc w:val="right"/>
      <w:pPr>
        <w:ind w:left="1682" w:hanging="420"/>
      </w:pPr>
    </w:lvl>
    <w:lvl w:ilvl="3" w:tentative="0">
      <w:start w:val="1"/>
      <w:numFmt w:val="decimal"/>
      <w:lvlText w:val="%4."/>
      <w:lvlJc w:val="left"/>
      <w:pPr>
        <w:ind w:left="2102" w:hanging="420"/>
      </w:pPr>
    </w:lvl>
    <w:lvl w:ilvl="4" w:tentative="0">
      <w:start w:val="1"/>
      <w:numFmt w:val="lowerLetter"/>
      <w:lvlText w:val="%5)"/>
      <w:lvlJc w:val="left"/>
      <w:pPr>
        <w:ind w:left="2522" w:hanging="420"/>
      </w:pPr>
    </w:lvl>
    <w:lvl w:ilvl="5" w:tentative="0">
      <w:start w:val="1"/>
      <w:numFmt w:val="lowerRoman"/>
      <w:lvlText w:val="%6."/>
      <w:lvlJc w:val="right"/>
      <w:pPr>
        <w:ind w:left="2942" w:hanging="420"/>
      </w:pPr>
    </w:lvl>
    <w:lvl w:ilvl="6" w:tentative="0">
      <w:start w:val="1"/>
      <w:numFmt w:val="decimal"/>
      <w:lvlText w:val="%7."/>
      <w:lvlJc w:val="left"/>
      <w:pPr>
        <w:ind w:left="3362" w:hanging="420"/>
      </w:pPr>
    </w:lvl>
    <w:lvl w:ilvl="7" w:tentative="0">
      <w:start w:val="1"/>
      <w:numFmt w:val="lowerLetter"/>
      <w:lvlText w:val="%8)"/>
      <w:lvlJc w:val="left"/>
      <w:pPr>
        <w:ind w:left="3782" w:hanging="420"/>
      </w:pPr>
    </w:lvl>
    <w:lvl w:ilvl="8" w:tentative="0">
      <w:start w:val="1"/>
      <w:numFmt w:val="lowerRoman"/>
      <w:lvlText w:val="%9."/>
      <w:lvlJc w:val="right"/>
      <w:pPr>
        <w:ind w:left="4202" w:hanging="420"/>
      </w:pPr>
    </w:lvl>
  </w:abstractNum>
  <w:abstractNum w:abstractNumId="8">
    <w:nsid w:val="347C3ABD"/>
    <w:multiLevelType w:val="multilevel"/>
    <w:tmpl w:val="347C3ABD"/>
    <w:lvl w:ilvl="0" w:tentative="0">
      <w:start w:val="1"/>
      <w:numFmt w:val="decimal"/>
      <w:lvlText w:val="%1."/>
      <w:lvlJc w:val="left"/>
      <w:pPr>
        <w:ind w:left="1000" w:hanging="5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4E65A208"/>
    <w:multiLevelType w:val="singleLevel"/>
    <w:tmpl w:val="4E65A20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4FAA752D"/>
    <w:multiLevelType w:val="multilevel"/>
    <w:tmpl w:val="4FAA752D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C4C21CA"/>
    <w:multiLevelType w:val="multilevel"/>
    <w:tmpl w:val="5C4C21CA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2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2">
    <w:nsid w:val="791B49F4"/>
    <w:multiLevelType w:val="multilevel"/>
    <w:tmpl w:val="791B49F4"/>
    <w:lvl w:ilvl="0" w:tentative="0">
      <w:start w:val="1"/>
      <w:numFmt w:val="decimal"/>
      <w:lvlText w:val="(%1)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1"/>
  </w:num>
  <w:num w:numId="2">
    <w:abstractNumId w:val="7"/>
  </w:num>
  <w:num w:numId="3">
    <w:abstractNumId w:val="10"/>
  </w:num>
  <w:num w:numId="4">
    <w:abstractNumId w:val="1"/>
  </w:num>
  <w:num w:numId="5">
    <w:abstractNumId w:val="5"/>
  </w:num>
  <w:num w:numId="6">
    <w:abstractNumId w:val="3"/>
  </w:num>
  <w:num w:numId="7">
    <w:abstractNumId w:val="12"/>
  </w:num>
  <w:num w:numId="8">
    <w:abstractNumId w:val="0"/>
  </w:num>
  <w:num w:numId="9">
    <w:abstractNumId w:val="9"/>
  </w:num>
  <w:num w:numId="10">
    <w:abstractNumId w:val="6"/>
  </w:num>
  <w:num w:numId="11">
    <w:abstractNumId w:val="2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3535E"/>
    <w:rsid w:val="000009DA"/>
    <w:rsid w:val="00002EA6"/>
    <w:rsid w:val="00005B63"/>
    <w:rsid w:val="000076B9"/>
    <w:rsid w:val="00013552"/>
    <w:rsid w:val="0001698E"/>
    <w:rsid w:val="000241A5"/>
    <w:rsid w:val="000317FC"/>
    <w:rsid w:val="00033E96"/>
    <w:rsid w:val="00041AF1"/>
    <w:rsid w:val="000432F0"/>
    <w:rsid w:val="00044CE0"/>
    <w:rsid w:val="00047052"/>
    <w:rsid w:val="0005210D"/>
    <w:rsid w:val="000523AD"/>
    <w:rsid w:val="00052C10"/>
    <w:rsid w:val="000766B6"/>
    <w:rsid w:val="0008487D"/>
    <w:rsid w:val="00084C45"/>
    <w:rsid w:val="000865E9"/>
    <w:rsid w:val="00091B7F"/>
    <w:rsid w:val="0009617A"/>
    <w:rsid w:val="000A5B23"/>
    <w:rsid w:val="000A5DBC"/>
    <w:rsid w:val="000A634E"/>
    <w:rsid w:val="000B697B"/>
    <w:rsid w:val="000C275F"/>
    <w:rsid w:val="000C6BFC"/>
    <w:rsid w:val="000C7A91"/>
    <w:rsid w:val="000D6588"/>
    <w:rsid w:val="000E0FFE"/>
    <w:rsid w:val="000E15DF"/>
    <w:rsid w:val="0010402E"/>
    <w:rsid w:val="00106F39"/>
    <w:rsid w:val="0011026F"/>
    <w:rsid w:val="001116C4"/>
    <w:rsid w:val="00117449"/>
    <w:rsid w:val="001243FC"/>
    <w:rsid w:val="00147309"/>
    <w:rsid w:val="00166A99"/>
    <w:rsid w:val="0018096F"/>
    <w:rsid w:val="00185433"/>
    <w:rsid w:val="00195D85"/>
    <w:rsid w:val="001962F3"/>
    <w:rsid w:val="001978B9"/>
    <w:rsid w:val="001B6B82"/>
    <w:rsid w:val="001C08C7"/>
    <w:rsid w:val="001C2259"/>
    <w:rsid w:val="001F0670"/>
    <w:rsid w:val="001F0BF5"/>
    <w:rsid w:val="001F6016"/>
    <w:rsid w:val="002041F3"/>
    <w:rsid w:val="00205358"/>
    <w:rsid w:val="0021166D"/>
    <w:rsid w:val="00211B0D"/>
    <w:rsid w:val="0021574D"/>
    <w:rsid w:val="002178D3"/>
    <w:rsid w:val="00227318"/>
    <w:rsid w:val="002274FD"/>
    <w:rsid w:val="0023469B"/>
    <w:rsid w:val="00252BDD"/>
    <w:rsid w:val="00257878"/>
    <w:rsid w:val="0029684D"/>
    <w:rsid w:val="002B3714"/>
    <w:rsid w:val="002C17E9"/>
    <w:rsid w:val="002D504F"/>
    <w:rsid w:val="002E784F"/>
    <w:rsid w:val="002F28C9"/>
    <w:rsid w:val="002F3722"/>
    <w:rsid w:val="002F401F"/>
    <w:rsid w:val="002F5FC1"/>
    <w:rsid w:val="00301BD5"/>
    <w:rsid w:val="00304A42"/>
    <w:rsid w:val="003065A2"/>
    <w:rsid w:val="00306B29"/>
    <w:rsid w:val="00312E8D"/>
    <w:rsid w:val="00320A94"/>
    <w:rsid w:val="00325D65"/>
    <w:rsid w:val="00327882"/>
    <w:rsid w:val="00336540"/>
    <w:rsid w:val="0033666A"/>
    <w:rsid w:val="00344D2B"/>
    <w:rsid w:val="00350BBC"/>
    <w:rsid w:val="00354169"/>
    <w:rsid w:val="00354817"/>
    <w:rsid w:val="0035574D"/>
    <w:rsid w:val="00376C5F"/>
    <w:rsid w:val="0039048D"/>
    <w:rsid w:val="00394B93"/>
    <w:rsid w:val="003964CA"/>
    <w:rsid w:val="003A4B6C"/>
    <w:rsid w:val="003A7607"/>
    <w:rsid w:val="003B7E2B"/>
    <w:rsid w:val="003D3ACB"/>
    <w:rsid w:val="003E1EB2"/>
    <w:rsid w:val="003E71D1"/>
    <w:rsid w:val="003F705D"/>
    <w:rsid w:val="00400069"/>
    <w:rsid w:val="00401C64"/>
    <w:rsid w:val="00413A20"/>
    <w:rsid w:val="00417D2E"/>
    <w:rsid w:val="004223BC"/>
    <w:rsid w:val="004272E6"/>
    <w:rsid w:val="00435701"/>
    <w:rsid w:val="00444DC1"/>
    <w:rsid w:val="00447F3B"/>
    <w:rsid w:val="0045413A"/>
    <w:rsid w:val="00461223"/>
    <w:rsid w:val="00462E1C"/>
    <w:rsid w:val="0047427F"/>
    <w:rsid w:val="004920ED"/>
    <w:rsid w:val="004A2215"/>
    <w:rsid w:val="004B3339"/>
    <w:rsid w:val="004D1869"/>
    <w:rsid w:val="004D1F1F"/>
    <w:rsid w:val="004E1E82"/>
    <w:rsid w:val="004E5DA4"/>
    <w:rsid w:val="004F02A1"/>
    <w:rsid w:val="004F4B5F"/>
    <w:rsid w:val="005012AE"/>
    <w:rsid w:val="0050606B"/>
    <w:rsid w:val="00506A9D"/>
    <w:rsid w:val="00530AED"/>
    <w:rsid w:val="00551289"/>
    <w:rsid w:val="005535D8"/>
    <w:rsid w:val="00556064"/>
    <w:rsid w:val="005604CF"/>
    <w:rsid w:val="00560D5A"/>
    <w:rsid w:val="00562C9A"/>
    <w:rsid w:val="00574920"/>
    <w:rsid w:val="005958AE"/>
    <w:rsid w:val="005A7575"/>
    <w:rsid w:val="005B4630"/>
    <w:rsid w:val="005C2D14"/>
    <w:rsid w:val="005D1DE0"/>
    <w:rsid w:val="005D2713"/>
    <w:rsid w:val="005D3E04"/>
    <w:rsid w:val="005D5CD7"/>
    <w:rsid w:val="005E2768"/>
    <w:rsid w:val="005F2E78"/>
    <w:rsid w:val="0060377F"/>
    <w:rsid w:val="00604B25"/>
    <w:rsid w:val="00605B8E"/>
    <w:rsid w:val="00606121"/>
    <w:rsid w:val="00610A76"/>
    <w:rsid w:val="006123B5"/>
    <w:rsid w:val="00622775"/>
    <w:rsid w:val="00631183"/>
    <w:rsid w:val="006322F2"/>
    <w:rsid w:val="00635F40"/>
    <w:rsid w:val="006574E3"/>
    <w:rsid w:val="006666EB"/>
    <w:rsid w:val="00681CB4"/>
    <w:rsid w:val="006866C8"/>
    <w:rsid w:val="0069098D"/>
    <w:rsid w:val="006A2E22"/>
    <w:rsid w:val="006A6E28"/>
    <w:rsid w:val="006C4C39"/>
    <w:rsid w:val="006C5595"/>
    <w:rsid w:val="006C57A2"/>
    <w:rsid w:val="006D0341"/>
    <w:rsid w:val="006D6A95"/>
    <w:rsid w:val="006D7179"/>
    <w:rsid w:val="006E1CB8"/>
    <w:rsid w:val="006E496B"/>
    <w:rsid w:val="006E7B7E"/>
    <w:rsid w:val="006F13E8"/>
    <w:rsid w:val="006F7EAB"/>
    <w:rsid w:val="00702814"/>
    <w:rsid w:val="0070535D"/>
    <w:rsid w:val="00715C7F"/>
    <w:rsid w:val="00722F04"/>
    <w:rsid w:val="00723EFB"/>
    <w:rsid w:val="007400F8"/>
    <w:rsid w:val="00751931"/>
    <w:rsid w:val="0075653B"/>
    <w:rsid w:val="00761663"/>
    <w:rsid w:val="0076362F"/>
    <w:rsid w:val="007653B0"/>
    <w:rsid w:val="0077770C"/>
    <w:rsid w:val="00792450"/>
    <w:rsid w:val="007A16E8"/>
    <w:rsid w:val="007B3A8D"/>
    <w:rsid w:val="007B4BC2"/>
    <w:rsid w:val="007B619A"/>
    <w:rsid w:val="007B74A2"/>
    <w:rsid w:val="007B7525"/>
    <w:rsid w:val="007D5A90"/>
    <w:rsid w:val="007E0B2E"/>
    <w:rsid w:val="007E1A45"/>
    <w:rsid w:val="007E1C69"/>
    <w:rsid w:val="0080230A"/>
    <w:rsid w:val="00820707"/>
    <w:rsid w:val="00821176"/>
    <w:rsid w:val="0082566F"/>
    <w:rsid w:val="00831AD8"/>
    <w:rsid w:val="00832834"/>
    <w:rsid w:val="0083400C"/>
    <w:rsid w:val="008355B8"/>
    <w:rsid w:val="00842DDD"/>
    <w:rsid w:val="00844909"/>
    <w:rsid w:val="00852186"/>
    <w:rsid w:val="00860681"/>
    <w:rsid w:val="00861ED9"/>
    <w:rsid w:val="008646CE"/>
    <w:rsid w:val="00873105"/>
    <w:rsid w:val="00873B38"/>
    <w:rsid w:val="00874EE0"/>
    <w:rsid w:val="008925A7"/>
    <w:rsid w:val="008A0E57"/>
    <w:rsid w:val="008A7422"/>
    <w:rsid w:val="008C4CAE"/>
    <w:rsid w:val="008C5872"/>
    <w:rsid w:val="008D2A2F"/>
    <w:rsid w:val="008D749D"/>
    <w:rsid w:val="008E1CF7"/>
    <w:rsid w:val="008F23B8"/>
    <w:rsid w:val="008F3878"/>
    <w:rsid w:val="008F7686"/>
    <w:rsid w:val="009134C0"/>
    <w:rsid w:val="00914995"/>
    <w:rsid w:val="00914D51"/>
    <w:rsid w:val="009171CE"/>
    <w:rsid w:val="00930B90"/>
    <w:rsid w:val="00933352"/>
    <w:rsid w:val="00940D8C"/>
    <w:rsid w:val="0095060E"/>
    <w:rsid w:val="00951AC6"/>
    <w:rsid w:val="009566EE"/>
    <w:rsid w:val="00957527"/>
    <w:rsid w:val="00962492"/>
    <w:rsid w:val="0096299C"/>
    <w:rsid w:val="0096507E"/>
    <w:rsid w:val="00965232"/>
    <w:rsid w:val="00983278"/>
    <w:rsid w:val="00983B3C"/>
    <w:rsid w:val="009928C9"/>
    <w:rsid w:val="009B1395"/>
    <w:rsid w:val="009D19A0"/>
    <w:rsid w:val="009D78E5"/>
    <w:rsid w:val="009E5E3F"/>
    <w:rsid w:val="009F7960"/>
    <w:rsid w:val="00A135EA"/>
    <w:rsid w:val="00A20CA6"/>
    <w:rsid w:val="00A2106A"/>
    <w:rsid w:val="00A3229D"/>
    <w:rsid w:val="00A32FD6"/>
    <w:rsid w:val="00A34B7F"/>
    <w:rsid w:val="00A527D4"/>
    <w:rsid w:val="00A60A88"/>
    <w:rsid w:val="00A67744"/>
    <w:rsid w:val="00A85842"/>
    <w:rsid w:val="00AA03D0"/>
    <w:rsid w:val="00AB43C4"/>
    <w:rsid w:val="00AB7FFE"/>
    <w:rsid w:val="00AC2DAC"/>
    <w:rsid w:val="00AC730F"/>
    <w:rsid w:val="00AF3B8F"/>
    <w:rsid w:val="00B017C5"/>
    <w:rsid w:val="00B03AB3"/>
    <w:rsid w:val="00B113AD"/>
    <w:rsid w:val="00B11C1B"/>
    <w:rsid w:val="00B13834"/>
    <w:rsid w:val="00B14C8D"/>
    <w:rsid w:val="00B21EB1"/>
    <w:rsid w:val="00B46E88"/>
    <w:rsid w:val="00B5062D"/>
    <w:rsid w:val="00B51578"/>
    <w:rsid w:val="00B521BF"/>
    <w:rsid w:val="00B6081C"/>
    <w:rsid w:val="00B67F42"/>
    <w:rsid w:val="00B7045D"/>
    <w:rsid w:val="00B70C12"/>
    <w:rsid w:val="00B73303"/>
    <w:rsid w:val="00B80611"/>
    <w:rsid w:val="00B90108"/>
    <w:rsid w:val="00BA09D9"/>
    <w:rsid w:val="00BA15FA"/>
    <w:rsid w:val="00BA4B4F"/>
    <w:rsid w:val="00BB233D"/>
    <w:rsid w:val="00BB2BEA"/>
    <w:rsid w:val="00BE0A72"/>
    <w:rsid w:val="00BE54D4"/>
    <w:rsid w:val="00BE5695"/>
    <w:rsid w:val="00BE5858"/>
    <w:rsid w:val="00BE7EE3"/>
    <w:rsid w:val="00BF046F"/>
    <w:rsid w:val="00C011B3"/>
    <w:rsid w:val="00C052CB"/>
    <w:rsid w:val="00C07A0D"/>
    <w:rsid w:val="00C115B1"/>
    <w:rsid w:val="00C15110"/>
    <w:rsid w:val="00C26DB6"/>
    <w:rsid w:val="00C3535E"/>
    <w:rsid w:val="00C409B1"/>
    <w:rsid w:val="00C4205A"/>
    <w:rsid w:val="00C437F3"/>
    <w:rsid w:val="00C43C8E"/>
    <w:rsid w:val="00C45D7F"/>
    <w:rsid w:val="00C50806"/>
    <w:rsid w:val="00C54ED0"/>
    <w:rsid w:val="00C74362"/>
    <w:rsid w:val="00C84E25"/>
    <w:rsid w:val="00C86952"/>
    <w:rsid w:val="00CC29A2"/>
    <w:rsid w:val="00CC444E"/>
    <w:rsid w:val="00CC4BF9"/>
    <w:rsid w:val="00CC6C7C"/>
    <w:rsid w:val="00CD2F9A"/>
    <w:rsid w:val="00CD3E79"/>
    <w:rsid w:val="00CE2379"/>
    <w:rsid w:val="00CE69E6"/>
    <w:rsid w:val="00CF75C1"/>
    <w:rsid w:val="00D000E7"/>
    <w:rsid w:val="00D01D8E"/>
    <w:rsid w:val="00D0484D"/>
    <w:rsid w:val="00D04CAB"/>
    <w:rsid w:val="00D079B7"/>
    <w:rsid w:val="00D150D2"/>
    <w:rsid w:val="00D15D1A"/>
    <w:rsid w:val="00D22F5B"/>
    <w:rsid w:val="00D32A2F"/>
    <w:rsid w:val="00D44C3E"/>
    <w:rsid w:val="00D474D5"/>
    <w:rsid w:val="00D47C6B"/>
    <w:rsid w:val="00D508B9"/>
    <w:rsid w:val="00D520F0"/>
    <w:rsid w:val="00D66C0B"/>
    <w:rsid w:val="00D74423"/>
    <w:rsid w:val="00D77313"/>
    <w:rsid w:val="00D86402"/>
    <w:rsid w:val="00DA3372"/>
    <w:rsid w:val="00DB4D58"/>
    <w:rsid w:val="00DC39CF"/>
    <w:rsid w:val="00DD562D"/>
    <w:rsid w:val="00DF1334"/>
    <w:rsid w:val="00DF1BE7"/>
    <w:rsid w:val="00DF5662"/>
    <w:rsid w:val="00DF69E2"/>
    <w:rsid w:val="00E01B33"/>
    <w:rsid w:val="00E1131B"/>
    <w:rsid w:val="00E1149F"/>
    <w:rsid w:val="00E16FD8"/>
    <w:rsid w:val="00E205DD"/>
    <w:rsid w:val="00E23931"/>
    <w:rsid w:val="00E31E6A"/>
    <w:rsid w:val="00E333D9"/>
    <w:rsid w:val="00E339BF"/>
    <w:rsid w:val="00E4034B"/>
    <w:rsid w:val="00E44070"/>
    <w:rsid w:val="00E463E3"/>
    <w:rsid w:val="00E46A4F"/>
    <w:rsid w:val="00E51DB7"/>
    <w:rsid w:val="00E541EB"/>
    <w:rsid w:val="00E651FF"/>
    <w:rsid w:val="00E658E2"/>
    <w:rsid w:val="00E7733A"/>
    <w:rsid w:val="00E944B2"/>
    <w:rsid w:val="00E95E8A"/>
    <w:rsid w:val="00EB1710"/>
    <w:rsid w:val="00EB3D84"/>
    <w:rsid w:val="00EB58B3"/>
    <w:rsid w:val="00EC0D60"/>
    <w:rsid w:val="00ED0F3A"/>
    <w:rsid w:val="00F1438F"/>
    <w:rsid w:val="00F203F4"/>
    <w:rsid w:val="00F22A06"/>
    <w:rsid w:val="00F270D0"/>
    <w:rsid w:val="00F35DBB"/>
    <w:rsid w:val="00F37C59"/>
    <w:rsid w:val="00F426AB"/>
    <w:rsid w:val="00F50180"/>
    <w:rsid w:val="00F72D8A"/>
    <w:rsid w:val="00F7396F"/>
    <w:rsid w:val="00F7406C"/>
    <w:rsid w:val="00F85E27"/>
    <w:rsid w:val="00F85F9E"/>
    <w:rsid w:val="00FA0FF2"/>
    <w:rsid w:val="00FB1C3D"/>
    <w:rsid w:val="00FE153C"/>
    <w:rsid w:val="00FE669D"/>
    <w:rsid w:val="00FE7073"/>
    <w:rsid w:val="00FF09D5"/>
    <w:rsid w:val="05196260"/>
    <w:rsid w:val="08AA16DE"/>
    <w:rsid w:val="0A831A5F"/>
    <w:rsid w:val="149A59BD"/>
    <w:rsid w:val="170B5050"/>
    <w:rsid w:val="173C3A14"/>
    <w:rsid w:val="25746FA4"/>
    <w:rsid w:val="28803311"/>
    <w:rsid w:val="2A737A50"/>
    <w:rsid w:val="2B0D49FD"/>
    <w:rsid w:val="30970EA7"/>
    <w:rsid w:val="338B7D42"/>
    <w:rsid w:val="34650E52"/>
    <w:rsid w:val="3A324C8E"/>
    <w:rsid w:val="3A4375DC"/>
    <w:rsid w:val="3DDA1273"/>
    <w:rsid w:val="3ECC06F8"/>
    <w:rsid w:val="408F33B9"/>
    <w:rsid w:val="418B708A"/>
    <w:rsid w:val="44DA43E2"/>
    <w:rsid w:val="44F64C10"/>
    <w:rsid w:val="45541E7A"/>
    <w:rsid w:val="45747F14"/>
    <w:rsid w:val="486D589A"/>
    <w:rsid w:val="4D081AFC"/>
    <w:rsid w:val="502A6A6B"/>
    <w:rsid w:val="53823413"/>
    <w:rsid w:val="545F28ED"/>
    <w:rsid w:val="567126B0"/>
    <w:rsid w:val="5BA10E0A"/>
    <w:rsid w:val="5BB60545"/>
    <w:rsid w:val="5BFA4168"/>
    <w:rsid w:val="5E0E0F8B"/>
    <w:rsid w:val="621B5621"/>
    <w:rsid w:val="64B755CC"/>
    <w:rsid w:val="66F46EE0"/>
    <w:rsid w:val="6940367D"/>
    <w:rsid w:val="6C36116C"/>
    <w:rsid w:val="6FA114F0"/>
    <w:rsid w:val="7009454A"/>
    <w:rsid w:val="705A5AB9"/>
    <w:rsid w:val="712C156B"/>
    <w:rsid w:val="77234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qFormat="1" w:unhideWhenUsed="0" w:uiPriority="0" w:semiHidden="0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qFormat="1" w:unhideWhenUsed="0" w:uiPriority="0" w:semiHidden="0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50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link w:val="5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2">
    <w:name w:val="heading 3"/>
    <w:basedOn w:val="1"/>
    <w:next w:val="1"/>
    <w:link w:val="52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53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jc w:val="both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54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55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56"/>
    <w:qFormat/>
    <w:uiPriority w:val="0"/>
    <w:pPr>
      <w:numPr>
        <w:ilvl w:val="0"/>
        <w:numId w:val="0"/>
      </w:numPr>
      <w:tabs>
        <w:tab w:val="left" w:pos="1800"/>
        <w:tab w:val="clear" w:pos="1440"/>
      </w:tabs>
      <w:ind w:left="1276" w:hanging="1276"/>
      <w:outlineLvl w:val="6"/>
    </w:pPr>
  </w:style>
  <w:style w:type="paragraph" w:styleId="9">
    <w:name w:val="heading 8"/>
    <w:basedOn w:val="8"/>
    <w:next w:val="1"/>
    <w:link w:val="57"/>
    <w:qFormat/>
    <w:uiPriority w:val="0"/>
    <w:pPr>
      <w:numPr>
        <w:ilvl w:val="7"/>
      </w:numPr>
      <w:ind w:left="1276" w:hanging="1276"/>
      <w:outlineLvl w:val="7"/>
    </w:pPr>
  </w:style>
  <w:style w:type="paragraph" w:styleId="10">
    <w:name w:val="heading 9"/>
    <w:basedOn w:val="9"/>
    <w:next w:val="1"/>
    <w:link w:val="58"/>
    <w:qFormat/>
    <w:uiPriority w:val="0"/>
    <w:pPr>
      <w:numPr>
        <w:ilvl w:val="8"/>
      </w:numPr>
      <w:tabs>
        <w:tab w:val="left" w:pos="2160"/>
      </w:tabs>
      <w:ind w:left="1276" w:hanging="1276"/>
      <w:outlineLvl w:val="8"/>
    </w:pPr>
  </w:style>
  <w:style w:type="character" w:default="1" w:styleId="42">
    <w:name w:val="Default Paragraph Font"/>
    <w:semiHidden/>
    <w:unhideWhenUsed/>
    <w:qFormat/>
    <w:uiPriority w:val="1"/>
  </w:style>
  <w:style w:type="table" w:default="1" w:styleId="4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71"/>
    <w:qFormat/>
    <w:uiPriority w:val="0"/>
    <w:rPr>
      <w:rFonts w:ascii="宋体" w:hAnsiTheme="minorHAnsi" w:eastAsiaTheme="minorEastAsia" w:cstheme="minorBidi"/>
      <w:sz w:val="18"/>
      <w:szCs w:val="18"/>
    </w:rPr>
  </w:style>
  <w:style w:type="paragraph" w:styleId="15">
    <w:name w:val="annotation text"/>
    <w:basedOn w:val="1"/>
    <w:link w:val="65"/>
    <w:qFormat/>
    <w:uiPriority w:val="0"/>
    <w:rPr>
      <w:rFonts w:asciiTheme="minorHAnsi" w:hAnsiTheme="minorHAnsi" w:eastAsiaTheme="minorEastAsia" w:cstheme="minorBidi"/>
    </w:rPr>
  </w:style>
  <w:style w:type="paragraph" w:styleId="16">
    <w:name w:val="Body Text 3"/>
    <w:basedOn w:val="1"/>
    <w:link w:val="74"/>
    <w:qFormat/>
    <w:uiPriority w:val="0"/>
    <w:pPr>
      <w:spacing w:after="120"/>
    </w:pPr>
    <w:rPr>
      <w:rFonts w:asciiTheme="minorHAnsi" w:hAnsiTheme="minorHAnsi" w:eastAsiaTheme="minorEastAsia" w:cstheme="minorBidi"/>
      <w:sz w:val="16"/>
      <w:szCs w:val="16"/>
    </w:rPr>
  </w:style>
  <w:style w:type="paragraph" w:styleId="17">
    <w:name w:val="Body Text"/>
    <w:basedOn w:val="1"/>
    <w:link w:val="68"/>
    <w:qFormat/>
    <w:uiPriority w:val="0"/>
    <w:pPr>
      <w:spacing w:after="120"/>
    </w:pPr>
    <w:rPr>
      <w:rFonts w:asciiTheme="minorHAnsi" w:hAnsiTheme="minorHAnsi" w:eastAsiaTheme="minorEastAsia" w:cstheme="minorBidi"/>
    </w:rPr>
  </w:style>
  <w:style w:type="paragraph" w:styleId="18">
    <w:name w:val="Body Text Indent"/>
    <w:basedOn w:val="1"/>
    <w:link w:val="62"/>
    <w:qFormat/>
    <w:uiPriority w:val="0"/>
    <w:pPr>
      <w:spacing w:after="120"/>
      <w:ind w:left="420" w:leftChars="200"/>
    </w:pPr>
    <w:rPr>
      <w:rFonts w:asciiTheme="minorHAnsi" w:hAnsiTheme="minorHAnsi" w:eastAsiaTheme="minorEastAsia" w:cstheme="minorBidi"/>
    </w:r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theme="minorHAns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21">
    <w:name w:val="Plain Text"/>
    <w:basedOn w:val="1"/>
    <w:link w:val="63"/>
    <w:qFormat/>
    <w:uiPriority w:val="0"/>
    <w:rPr>
      <w:rFonts w:ascii="宋体" w:hAnsi="Courier New" w:eastAsiaTheme="minorEastAsia" w:cstheme="minorBidi"/>
      <w:szCs w:val="22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23">
    <w:name w:val="Date"/>
    <w:basedOn w:val="1"/>
    <w:next w:val="1"/>
    <w:link w:val="77"/>
    <w:qFormat/>
    <w:uiPriority w:val="0"/>
    <w:pPr>
      <w:ind w:left="100" w:leftChars="2500"/>
    </w:pPr>
    <w:rPr>
      <w:rFonts w:asciiTheme="minorHAnsi" w:hAnsiTheme="minorHAnsi" w:eastAsiaTheme="minorEastAsia" w:cstheme="minorBidi"/>
    </w:rPr>
  </w:style>
  <w:style w:type="paragraph" w:styleId="24">
    <w:name w:val="Body Text Indent 2"/>
    <w:basedOn w:val="1"/>
    <w:link w:val="60"/>
    <w:qFormat/>
    <w:uiPriority w:val="0"/>
    <w:pPr>
      <w:spacing w:after="120" w:line="480" w:lineRule="auto"/>
      <w:ind w:left="420" w:leftChars="200"/>
    </w:pPr>
    <w:rPr>
      <w:rFonts w:asciiTheme="minorHAnsi" w:hAnsiTheme="minorHAnsi" w:eastAsiaTheme="minorEastAsia" w:cstheme="minorBidi"/>
    </w:rPr>
  </w:style>
  <w:style w:type="paragraph" w:styleId="25">
    <w:name w:val="Balloon Text"/>
    <w:basedOn w:val="1"/>
    <w:link w:val="64"/>
    <w:qFormat/>
    <w:uiPriority w:val="0"/>
    <w:rPr>
      <w:rFonts w:asciiTheme="minorHAnsi" w:hAnsiTheme="minorHAnsi" w:eastAsiaTheme="minorEastAsia" w:cstheme="minorBidi"/>
      <w:sz w:val="18"/>
      <w:szCs w:val="18"/>
    </w:rPr>
  </w:style>
  <w:style w:type="paragraph" w:styleId="26">
    <w:name w:val="footer"/>
    <w:basedOn w:val="1"/>
    <w:link w:val="4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7">
    <w:name w:val="header"/>
    <w:basedOn w:val="1"/>
    <w:link w:val="4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theme="minorHAns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33">
    <w:name w:val="Body Text Indent 3"/>
    <w:basedOn w:val="1"/>
    <w:link w:val="70"/>
    <w:qFormat/>
    <w:uiPriority w:val="0"/>
    <w:pPr>
      <w:spacing w:after="120"/>
      <w:ind w:left="420" w:leftChars="200"/>
    </w:pPr>
    <w:rPr>
      <w:rFonts w:asciiTheme="minorHAnsi" w:hAnsiTheme="minorHAnsi" w:eastAsiaTheme="minorEastAsia" w:cstheme="minorBidi"/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36">
    <w:name w:val="Body Text 2"/>
    <w:basedOn w:val="1"/>
    <w:link w:val="75"/>
    <w:qFormat/>
    <w:uiPriority w:val="0"/>
    <w:pPr>
      <w:spacing w:after="120" w:line="480" w:lineRule="auto"/>
    </w:pPr>
    <w:rPr>
      <w:rFonts w:asciiTheme="minorHAnsi" w:hAnsiTheme="minorHAnsi" w:eastAsiaTheme="minorEastAsia" w:cstheme="minorBidi"/>
    </w:r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59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 w:eastAsiaTheme="minorEastAsia"/>
      <w:b/>
      <w:bCs/>
      <w:sz w:val="32"/>
      <w:szCs w:val="32"/>
    </w:rPr>
  </w:style>
  <w:style w:type="paragraph" w:styleId="39">
    <w:name w:val="annotation subject"/>
    <w:basedOn w:val="15"/>
    <w:next w:val="15"/>
    <w:link w:val="141"/>
    <w:semiHidden/>
    <w:unhideWhenUsed/>
    <w:qFormat/>
    <w:uiPriority w:val="99"/>
    <w:rPr>
      <w:b/>
      <w:bCs/>
    </w:rPr>
  </w:style>
  <w:style w:type="paragraph" w:styleId="40">
    <w:name w:val="Body Text First Indent"/>
    <w:basedOn w:val="17"/>
    <w:link w:val="67"/>
    <w:qFormat/>
    <w:uiPriority w:val="0"/>
    <w:pPr>
      <w:ind w:firstLine="100" w:firstLineChars="100"/>
    </w:pPr>
  </w:style>
  <w:style w:type="character" w:styleId="43">
    <w:name w:val="Strong"/>
    <w:basedOn w:val="42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basedOn w:val="42"/>
    <w:qFormat/>
    <w:uiPriority w:val="0"/>
    <w:rPr>
      <w:color w:val="800080"/>
      <w:u w:val="single"/>
    </w:rPr>
  </w:style>
  <w:style w:type="character" w:styleId="46">
    <w:name w:val="Hyperlink"/>
    <w:basedOn w:val="42"/>
    <w:qFormat/>
    <w:uiPriority w:val="99"/>
    <w:rPr>
      <w:color w:val="0000FF"/>
      <w:u w:val="single"/>
    </w:rPr>
  </w:style>
  <w:style w:type="character" w:styleId="47">
    <w:name w:val="annotation reference"/>
    <w:basedOn w:val="42"/>
    <w:qFormat/>
    <w:uiPriority w:val="0"/>
    <w:rPr>
      <w:sz w:val="21"/>
      <w:szCs w:val="21"/>
    </w:rPr>
  </w:style>
  <w:style w:type="character" w:customStyle="1" w:styleId="48">
    <w:name w:val="页眉 Char"/>
    <w:basedOn w:val="42"/>
    <w:link w:val="27"/>
    <w:qFormat/>
    <w:uiPriority w:val="99"/>
    <w:rPr>
      <w:sz w:val="18"/>
      <w:szCs w:val="18"/>
    </w:rPr>
  </w:style>
  <w:style w:type="character" w:customStyle="1" w:styleId="49">
    <w:name w:val="页脚 Char"/>
    <w:basedOn w:val="42"/>
    <w:link w:val="26"/>
    <w:qFormat/>
    <w:uiPriority w:val="99"/>
    <w:rPr>
      <w:sz w:val="18"/>
      <w:szCs w:val="18"/>
    </w:rPr>
  </w:style>
  <w:style w:type="character" w:customStyle="1" w:styleId="50">
    <w:name w:val="标题 1 Char"/>
    <w:basedOn w:val="42"/>
    <w:link w:val="3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51">
    <w:name w:val="标题 2 Char"/>
    <w:basedOn w:val="42"/>
    <w:link w:val="4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52">
    <w:name w:val="标题 3 Char"/>
    <w:basedOn w:val="42"/>
    <w:link w:val="2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53">
    <w:name w:val="标题 4 Char"/>
    <w:basedOn w:val="42"/>
    <w:link w:val="5"/>
    <w:qFormat/>
    <w:uiPriority w:val="0"/>
    <w:rPr>
      <w:rFonts w:ascii="Times New Roman" w:hAnsi="Arial" w:eastAsia="宋体" w:cs="Times New Roman"/>
      <w:b/>
      <w:bCs/>
      <w:sz w:val="24"/>
      <w:szCs w:val="28"/>
    </w:rPr>
  </w:style>
  <w:style w:type="character" w:customStyle="1" w:styleId="54">
    <w:name w:val="标题 5 Char"/>
    <w:basedOn w:val="42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55">
    <w:name w:val="标题 6 Char"/>
    <w:basedOn w:val="42"/>
    <w:link w:val="7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56">
    <w:name w:val="标题 7 Char"/>
    <w:basedOn w:val="42"/>
    <w:link w:val="8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57">
    <w:name w:val="标题 8 Char"/>
    <w:basedOn w:val="42"/>
    <w:link w:val="9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58">
    <w:name w:val="标题 9 Char"/>
    <w:basedOn w:val="42"/>
    <w:link w:val="10"/>
    <w:qFormat/>
    <w:uiPriority w:val="0"/>
    <w:rPr>
      <w:rFonts w:ascii="Times New Roman" w:hAnsi="Times New Roman" w:eastAsia="宋体" w:cs="Times New Roman"/>
      <w:b/>
      <w:bCs/>
      <w:sz w:val="30"/>
      <w:szCs w:val="18"/>
    </w:rPr>
  </w:style>
  <w:style w:type="character" w:customStyle="1" w:styleId="59">
    <w:name w:val="标题 Char"/>
    <w:basedOn w:val="42"/>
    <w:link w:val="38"/>
    <w:qFormat/>
    <w:uiPriority w:val="0"/>
    <w:rPr>
      <w:rFonts w:ascii="Arial" w:hAnsi="Arial" w:cs="Arial"/>
      <w:b/>
      <w:bCs/>
      <w:sz w:val="32"/>
      <w:szCs w:val="32"/>
    </w:rPr>
  </w:style>
  <w:style w:type="character" w:customStyle="1" w:styleId="60">
    <w:name w:val="正文文本缩进 2 Char"/>
    <w:basedOn w:val="42"/>
    <w:link w:val="24"/>
    <w:qFormat/>
    <w:uiPriority w:val="0"/>
    <w:rPr>
      <w:szCs w:val="24"/>
    </w:rPr>
  </w:style>
  <w:style w:type="character" w:customStyle="1" w:styleId="61">
    <w:name w:val="large1"/>
    <w:basedOn w:val="42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62">
    <w:name w:val="正文文本缩进 Char"/>
    <w:basedOn w:val="42"/>
    <w:link w:val="18"/>
    <w:qFormat/>
    <w:uiPriority w:val="0"/>
    <w:rPr>
      <w:szCs w:val="24"/>
    </w:rPr>
  </w:style>
  <w:style w:type="character" w:customStyle="1" w:styleId="63">
    <w:name w:val="纯文本 Char"/>
    <w:basedOn w:val="42"/>
    <w:link w:val="21"/>
    <w:qFormat/>
    <w:uiPriority w:val="0"/>
    <w:rPr>
      <w:rFonts w:ascii="宋体" w:hAnsi="Courier New"/>
    </w:rPr>
  </w:style>
  <w:style w:type="character" w:customStyle="1" w:styleId="64">
    <w:name w:val="批注框文本 Char"/>
    <w:basedOn w:val="42"/>
    <w:link w:val="25"/>
    <w:qFormat/>
    <w:uiPriority w:val="0"/>
    <w:rPr>
      <w:sz w:val="18"/>
      <w:szCs w:val="18"/>
    </w:rPr>
  </w:style>
  <w:style w:type="character" w:customStyle="1" w:styleId="65">
    <w:name w:val="批注文字 Char"/>
    <w:basedOn w:val="42"/>
    <w:link w:val="15"/>
    <w:qFormat/>
    <w:uiPriority w:val="0"/>
    <w:rPr>
      <w:szCs w:val="24"/>
    </w:rPr>
  </w:style>
  <w:style w:type="character" w:customStyle="1" w:styleId="66">
    <w:name w:val="14_black1"/>
    <w:basedOn w:val="42"/>
    <w:qFormat/>
    <w:uiPriority w:val="0"/>
    <w:rPr>
      <w:color w:val="000000"/>
      <w:sz w:val="23"/>
      <w:szCs w:val="23"/>
    </w:rPr>
  </w:style>
  <w:style w:type="character" w:customStyle="1" w:styleId="67">
    <w:name w:val="正文首行缩进 Char"/>
    <w:basedOn w:val="68"/>
    <w:link w:val="40"/>
    <w:qFormat/>
    <w:uiPriority w:val="0"/>
    <w:rPr>
      <w:szCs w:val="24"/>
    </w:rPr>
  </w:style>
  <w:style w:type="character" w:customStyle="1" w:styleId="68">
    <w:name w:val="正文文本 Char"/>
    <w:basedOn w:val="42"/>
    <w:link w:val="17"/>
    <w:qFormat/>
    <w:uiPriority w:val="0"/>
    <w:rPr>
      <w:szCs w:val="24"/>
    </w:rPr>
  </w:style>
  <w:style w:type="character" w:customStyle="1" w:styleId="69">
    <w:name w:val="f141"/>
    <w:basedOn w:val="42"/>
    <w:qFormat/>
    <w:uiPriority w:val="0"/>
    <w:rPr>
      <w:sz w:val="21"/>
      <w:szCs w:val="21"/>
    </w:rPr>
  </w:style>
  <w:style w:type="character" w:customStyle="1" w:styleId="70">
    <w:name w:val="正文文本缩进 3 Char"/>
    <w:basedOn w:val="42"/>
    <w:link w:val="33"/>
    <w:qFormat/>
    <w:uiPriority w:val="0"/>
    <w:rPr>
      <w:sz w:val="16"/>
      <w:szCs w:val="16"/>
    </w:rPr>
  </w:style>
  <w:style w:type="character" w:customStyle="1" w:styleId="71">
    <w:name w:val="文档结构图 Char"/>
    <w:basedOn w:val="42"/>
    <w:link w:val="14"/>
    <w:qFormat/>
    <w:uiPriority w:val="0"/>
    <w:rPr>
      <w:rFonts w:ascii="宋体"/>
      <w:sz w:val="18"/>
      <w:szCs w:val="18"/>
    </w:rPr>
  </w:style>
  <w:style w:type="character" w:customStyle="1" w:styleId="72">
    <w:name w:val="FA正文 Char"/>
    <w:basedOn w:val="42"/>
    <w:link w:val="73"/>
    <w:qFormat/>
    <w:uiPriority w:val="0"/>
    <w:rPr>
      <w:rFonts w:ascii="宋体" w:hAnsi="宋体"/>
      <w:spacing w:val="10"/>
      <w:sz w:val="24"/>
      <w:szCs w:val="24"/>
    </w:rPr>
  </w:style>
  <w:style w:type="paragraph" w:customStyle="1" w:styleId="73">
    <w:name w:val="FA正文"/>
    <w:basedOn w:val="1"/>
    <w:link w:val="72"/>
    <w:qFormat/>
    <w:uiPriority w:val="0"/>
    <w:pPr>
      <w:tabs>
        <w:tab w:val="left" w:pos="3375"/>
      </w:tabs>
      <w:ind w:firstLine="520"/>
    </w:pPr>
    <w:rPr>
      <w:rFonts w:ascii="宋体" w:hAnsi="宋体" w:eastAsiaTheme="minorEastAsia" w:cstheme="minorBidi"/>
      <w:spacing w:val="10"/>
      <w:sz w:val="24"/>
    </w:rPr>
  </w:style>
  <w:style w:type="character" w:customStyle="1" w:styleId="74">
    <w:name w:val="正文文本 3 Char"/>
    <w:basedOn w:val="42"/>
    <w:link w:val="16"/>
    <w:qFormat/>
    <w:uiPriority w:val="0"/>
    <w:rPr>
      <w:sz w:val="16"/>
      <w:szCs w:val="16"/>
    </w:rPr>
  </w:style>
  <w:style w:type="character" w:customStyle="1" w:styleId="75">
    <w:name w:val="正文文本 2 Char"/>
    <w:basedOn w:val="42"/>
    <w:link w:val="36"/>
    <w:qFormat/>
    <w:uiPriority w:val="0"/>
    <w:rPr>
      <w:szCs w:val="24"/>
    </w:rPr>
  </w:style>
  <w:style w:type="character" w:customStyle="1" w:styleId="76">
    <w:name w:val="Indent Normal Char"/>
    <w:basedOn w:val="42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77">
    <w:name w:val="日期 Char"/>
    <w:basedOn w:val="42"/>
    <w:link w:val="23"/>
    <w:qFormat/>
    <w:uiPriority w:val="0"/>
    <w:rPr>
      <w:szCs w:val="24"/>
    </w:rPr>
  </w:style>
  <w:style w:type="character" w:customStyle="1" w:styleId="78">
    <w:name w:val="p11b1"/>
    <w:basedOn w:val="42"/>
    <w:qFormat/>
    <w:uiPriority w:val="0"/>
    <w:rPr>
      <w:color w:val="000000"/>
      <w:spacing w:val="320"/>
      <w:sz w:val="20"/>
      <w:szCs w:val="20"/>
      <w:u w:val="none"/>
    </w:rPr>
  </w:style>
  <w:style w:type="paragraph" w:customStyle="1" w:styleId="79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80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81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82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83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84">
    <w:name w:val="TOC 标题1"/>
    <w:basedOn w:val="3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85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8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87">
    <w:name w:val="Char Char Char Char"/>
    <w:basedOn w:val="14"/>
    <w:qFormat/>
    <w:uiPriority w:val="0"/>
  </w:style>
  <w:style w:type="character" w:customStyle="1" w:styleId="88">
    <w:name w:val="日期 Char1"/>
    <w:basedOn w:val="4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89">
    <w:name w:val="标题 Char1"/>
    <w:basedOn w:val="4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90">
    <w:name w:val="正文文本 2 Char1"/>
    <w:basedOn w:val="42"/>
    <w:semiHidden/>
    <w:qFormat/>
    <w:uiPriority w:val="99"/>
    <w:rPr>
      <w:rFonts w:ascii="Times New Roman" w:hAnsi="Times New Roman" w:eastAsia="宋体" w:cs="Times New Roman"/>
      <w:szCs w:val="24"/>
    </w:rPr>
  </w:style>
  <w:style w:type="paragraph" w:customStyle="1" w:styleId="91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92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93">
    <w:name w:val="样式1"/>
    <w:basedOn w:val="1"/>
    <w:link w:val="142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94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95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96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styleId="97">
    <w:name w:val="List Paragraph"/>
    <w:basedOn w:val="1"/>
    <w:qFormat/>
    <w:uiPriority w:val="34"/>
  </w:style>
  <w:style w:type="paragraph" w:customStyle="1" w:styleId="98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99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100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character" w:customStyle="1" w:styleId="101">
    <w:name w:val="正文文本缩进 2 Char1"/>
    <w:basedOn w:val="4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02">
    <w:name w:val="批注文字 Char1"/>
    <w:basedOn w:val="4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03">
    <w:name w:val="批注框文本 Char1"/>
    <w:basedOn w:val="4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4">
    <w:name w:val="正文文本 3 Char1"/>
    <w:basedOn w:val="42"/>
    <w:semiHidden/>
    <w:qFormat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105">
    <w:name w:val="正文文本 Char1"/>
    <w:basedOn w:val="4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06">
    <w:name w:val="纯文本 Char1"/>
    <w:basedOn w:val="42"/>
    <w:semiHidden/>
    <w:qFormat/>
    <w:uiPriority w:val="99"/>
    <w:rPr>
      <w:rFonts w:ascii="宋体" w:hAnsi="Courier New" w:eastAsia="宋体" w:cs="Courier New"/>
      <w:szCs w:val="21"/>
    </w:rPr>
  </w:style>
  <w:style w:type="character" w:customStyle="1" w:styleId="107">
    <w:name w:val="正文首行缩进 Char1"/>
    <w:basedOn w:val="105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08">
    <w:name w:val="正文文本缩进 Char1"/>
    <w:basedOn w:val="4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09">
    <w:name w:val="正文文本缩进 3 Char1"/>
    <w:basedOn w:val="42"/>
    <w:semiHidden/>
    <w:qFormat/>
    <w:uiPriority w:val="99"/>
    <w:rPr>
      <w:rFonts w:ascii="Times New Roman" w:hAnsi="Times New Roman" w:eastAsia="宋体" w:cs="Times New Roman"/>
      <w:sz w:val="16"/>
      <w:szCs w:val="16"/>
    </w:rPr>
  </w:style>
  <w:style w:type="character" w:customStyle="1" w:styleId="110">
    <w:name w:val="文档结构图 Char1"/>
    <w:basedOn w:val="42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111">
    <w:name w:val="样式2"/>
    <w:basedOn w:val="1"/>
    <w:link w:val="112"/>
    <w:qFormat/>
    <w:uiPriority w:val="0"/>
    <w:pPr>
      <w:spacing w:before="120" w:after="120"/>
      <w:outlineLvl w:val="1"/>
    </w:pPr>
    <w:rPr>
      <w:b/>
      <w:sz w:val="30"/>
    </w:rPr>
  </w:style>
  <w:style w:type="character" w:customStyle="1" w:styleId="112">
    <w:name w:val="样式2 Char"/>
    <w:basedOn w:val="42"/>
    <w:link w:val="111"/>
    <w:qFormat/>
    <w:uiPriority w:val="0"/>
    <w:rPr>
      <w:rFonts w:ascii="Times New Roman" w:hAnsi="Times New Roman" w:eastAsia="宋体" w:cs="Times New Roman"/>
      <w:b/>
      <w:sz w:val="30"/>
      <w:szCs w:val="24"/>
    </w:rPr>
  </w:style>
  <w:style w:type="paragraph" w:customStyle="1" w:styleId="113">
    <w:name w:val="样式3"/>
    <w:basedOn w:val="27"/>
    <w:link w:val="115"/>
    <w:qFormat/>
    <w:uiPriority w:val="0"/>
    <w:pPr>
      <w:pBdr>
        <w:bottom w:val="none" w:color="auto" w:sz="0" w:space="0"/>
      </w:pBdr>
      <w:ind w:firstLine="360"/>
    </w:pPr>
  </w:style>
  <w:style w:type="paragraph" w:customStyle="1" w:styleId="114">
    <w:name w:val="样式4"/>
    <w:basedOn w:val="113"/>
    <w:link w:val="117"/>
    <w:qFormat/>
    <w:uiPriority w:val="0"/>
  </w:style>
  <w:style w:type="character" w:customStyle="1" w:styleId="115">
    <w:name w:val="样式3 Char"/>
    <w:basedOn w:val="48"/>
    <w:link w:val="113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16">
    <w:name w:val="样式5"/>
    <w:basedOn w:val="27"/>
    <w:link w:val="119"/>
    <w:qFormat/>
    <w:uiPriority w:val="0"/>
    <w:pPr>
      <w:pBdr>
        <w:bottom w:val="none" w:color="auto" w:sz="0" w:space="0"/>
      </w:pBdr>
      <w:ind w:firstLine="360"/>
    </w:pPr>
  </w:style>
  <w:style w:type="character" w:customStyle="1" w:styleId="117">
    <w:name w:val="样式4 Char1"/>
    <w:basedOn w:val="115"/>
    <w:link w:val="114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18">
    <w:name w:val="样式6"/>
    <w:basedOn w:val="27"/>
    <w:link w:val="121"/>
    <w:qFormat/>
    <w:uiPriority w:val="0"/>
    <w:pPr>
      <w:pBdr>
        <w:bottom w:val="none" w:color="auto" w:sz="0" w:space="0"/>
      </w:pBdr>
      <w:ind w:firstLine="360"/>
    </w:pPr>
  </w:style>
  <w:style w:type="character" w:customStyle="1" w:styleId="119">
    <w:name w:val="样式5 Char"/>
    <w:basedOn w:val="48"/>
    <w:link w:val="116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20">
    <w:name w:val="样式7"/>
    <w:basedOn w:val="2"/>
    <w:link w:val="123"/>
    <w:qFormat/>
    <w:uiPriority w:val="0"/>
  </w:style>
  <w:style w:type="character" w:customStyle="1" w:styleId="121">
    <w:name w:val="样式6 Char"/>
    <w:basedOn w:val="48"/>
    <w:link w:val="118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22">
    <w:name w:val="样式8"/>
    <w:basedOn w:val="26"/>
    <w:link w:val="125"/>
    <w:qFormat/>
    <w:uiPriority w:val="0"/>
  </w:style>
  <w:style w:type="character" w:customStyle="1" w:styleId="123">
    <w:name w:val="样式7 Char"/>
    <w:basedOn w:val="52"/>
    <w:link w:val="120"/>
    <w:uiPriority w:val="0"/>
    <w:rPr>
      <w:rFonts w:ascii="Times New Roman" w:hAnsi="Times New Roman" w:eastAsia="宋体" w:cs="Times New Roman"/>
      <w:sz w:val="28"/>
      <w:szCs w:val="18"/>
    </w:rPr>
  </w:style>
  <w:style w:type="paragraph" w:customStyle="1" w:styleId="124">
    <w:name w:val="样式9"/>
    <w:basedOn w:val="122"/>
    <w:link w:val="127"/>
    <w:qFormat/>
    <w:uiPriority w:val="0"/>
    <w:pPr>
      <w:jc w:val="center"/>
    </w:pPr>
  </w:style>
  <w:style w:type="character" w:customStyle="1" w:styleId="125">
    <w:name w:val="样式8 Char"/>
    <w:basedOn w:val="49"/>
    <w:link w:val="122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26">
    <w:name w:val="样式10"/>
    <w:basedOn w:val="124"/>
    <w:link w:val="129"/>
    <w:qFormat/>
    <w:uiPriority w:val="0"/>
    <w:pPr>
      <w:pBdr>
        <w:top w:val="single" w:color="76923C" w:themeColor="accent3" w:themeShade="BF" w:sz="24" w:space="1"/>
      </w:pBdr>
    </w:pPr>
  </w:style>
  <w:style w:type="character" w:customStyle="1" w:styleId="127">
    <w:name w:val="样式9 Char"/>
    <w:basedOn w:val="125"/>
    <w:link w:val="124"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28">
    <w:name w:val="样式11"/>
    <w:basedOn w:val="126"/>
    <w:link w:val="131"/>
    <w:uiPriority w:val="0"/>
    <w:pPr>
      <w:pBdr>
        <w:top w:val="none" w:color="auto" w:sz="0" w:space="0"/>
      </w:pBdr>
    </w:pPr>
  </w:style>
  <w:style w:type="character" w:customStyle="1" w:styleId="129">
    <w:name w:val="样式10 Char"/>
    <w:basedOn w:val="127"/>
    <w:link w:val="126"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30">
    <w:name w:val="样式12"/>
    <w:basedOn w:val="128"/>
    <w:link w:val="133"/>
    <w:uiPriority w:val="0"/>
  </w:style>
  <w:style w:type="character" w:customStyle="1" w:styleId="131">
    <w:name w:val="样式11 Char"/>
    <w:basedOn w:val="129"/>
    <w:link w:val="128"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32">
    <w:name w:val="样式13"/>
    <w:basedOn w:val="120"/>
    <w:link w:val="135"/>
    <w:qFormat/>
    <w:uiPriority w:val="0"/>
  </w:style>
  <w:style w:type="character" w:customStyle="1" w:styleId="133">
    <w:name w:val="样式12 Char"/>
    <w:basedOn w:val="131"/>
    <w:link w:val="130"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34">
    <w:name w:val="2"/>
    <w:basedOn w:val="1"/>
    <w:link w:val="13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character" w:customStyle="1" w:styleId="135">
    <w:name w:val="样式13 Char"/>
    <w:basedOn w:val="123"/>
    <w:link w:val="132"/>
    <w:uiPriority w:val="0"/>
    <w:rPr>
      <w:rFonts w:ascii="Times New Roman" w:hAnsi="Times New Roman" w:eastAsia="宋体" w:cs="Times New Roman"/>
      <w:sz w:val="28"/>
      <w:szCs w:val="18"/>
    </w:rPr>
  </w:style>
  <w:style w:type="paragraph" w:customStyle="1" w:styleId="136">
    <w:name w:val="1"/>
    <w:basedOn w:val="1"/>
    <w:link w:val="138"/>
    <w:qFormat/>
    <w:uiPriority w:val="0"/>
    <w:pPr>
      <w:ind w:firstLine="0" w:firstLineChars="0"/>
    </w:pPr>
  </w:style>
  <w:style w:type="character" w:customStyle="1" w:styleId="137">
    <w:name w:val="2 Char"/>
    <w:basedOn w:val="42"/>
    <w:link w:val="134"/>
    <w:qFormat/>
    <w:uiPriority w:val="0"/>
    <w:rPr>
      <w:rFonts w:ascii="Times New Roman" w:hAnsi="Times New Roman" w:eastAsia="宋体" w:cs="Times New Roman"/>
      <w:spacing w:val="4"/>
      <w:szCs w:val="24"/>
    </w:rPr>
  </w:style>
  <w:style w:type="character" w:customStyle="1" w:styleId="138">
    <w:name w:val="1 Char"/>
    <w:basedOn w:val="42"/>
    <w:link w:val="136"/>
    <w:uiPriority w:val="0"/>
    <w:rPr>
      <w:rFonts w:ascii="Times New Roman" w:hAnsi="Times New Roman" w:eastAsia="宋体" w:cs="Times New Roman"/>
      <w:szCs w:val="24"/>
    </w:rPr>
  </w:style>
  <w:style w:type="paragraph" w:customStyle="1" w:styleId="139">
    <w:name w:val="飞越型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styleId="140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41">
    <w:name w:val="批注主题 Char"/>
    <w:basedOn w:val="102"/>
    <w:link w:val="39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142">
    <w:name w:val="样式1 Char"/>
    <w:link w:val="93"/>
    <w:qFormat/>
    <w:uiPriority w:val="0"/>
    <w:rPr>
      <w:rFonts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4" Type="http://schemas.openxmlformats.org/officeDocument/2006/relationships/glossaryDocument" Target="glossary/document.xml"/><Relationship Id="rId63" Type="http://schemas.openxmlformats.org/officeDocument/2006/relationships/fontTable" Target="fontTable.xml"/><Relationship Id="rId62" Type="http://schemas.openxmlformats.org/officeDocument/2006/relationships/customXml" Target="../customXml/item2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footer" Target="footer1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3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BFC08D7058A044A281CBBF0460E00065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75CDDEE-6D42-4A7F-BB3C-0EBB765C9D0B}"/>
      </w:docPartPr>
      <w:docPartBody>
        <w:p>
          <w:pPr>
            <w:pStyle w:val="4"/>
            <w:ind w:firstLine="360"/>
          </w:pPr>
          <w:r>
            <w:rPr>
              <w:i/>
              <w:iCs/>
              <w:color w:val="8B8B8B" w:themeColor="background1" w:themeShade="8C"/>
              <w:lang w:val="zh-CN"/>
            </w:rPr>
            <w:t>[键入公司名称]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86A87"/>
    <w:rsid w:val="00023C30"/>
    <w:rsid w:val="00146F7A"/>
    <w:rsid w:val="001C21CD"/>
    <w:rsid w:val="00201B70"/>
    <w:rsid w:val="00224389"/>
    <w:rsid w:val="00263B4F"/>
    <w:rsid w:val="00353CE5"/>
    <w:rsid w:val="00356888"/>
    <w:rsid w:val="003E7439"/>
    <w:rsid w:val="004002D9"/>
    <w:rsid w:val="00482B4D"/>
    <w:rsid w:val="004B2EE7"/>
    <w:rsid w:val="0064177F"/>
    <w:rsid w:val="00677648"/>
    <w:rsid w:val="00693D6E"/>
    <w:rsid w:val="006D63A5"/>
    <w:rsid w:val="007C47ED"/>
    <w:rsid w:val="0087243C"/>
    <w:rsid w:val="00884A81"/>
    <w:rsid w:val="008A5045"/>
    <w:rsid w:val="008D09FD"/>
    <w:rsid w:val="008D4BB3"/>
    <w:rsid w:val="009C6B3D"/>
    <w:rsid w:val="00A11A30"/>
    <w:rsid w:val="00A54417"/>
    <w:rsid w:val="00A64C00"/>
    <w:rsid w:val="00A731BE"/>
    <w:rsid w:val="00A8468F"/>
    <w:rsid w:val="00A86908"/>
    <w:rsid w:val="00AC7192"/>
    <w:rsid w:val="00AD7542"/>
    <w:rsid w:val="00B03291"/>
    <w:rsid w:val="00B4531A"/>
    <w:rsid w:val="00B45546"/>
    <w:rsid w:val="00BE53A5"/>
    <w:rsid w:val="00C56B16"/>
    <w:rsid w:val="00C6126B"/>
    <w:rsid w:val="00CC67A1"/>
    <w:rsid w:val="00DB4AA8"/>
    <w:rsid w:val="00E449D9"/>
    <w:rsid w:val="00F3793E"/>
    <w:rsid w:val="00F8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BFC08D7058A044A281CBBF0460E0006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636D26-D080-4F9F-B845-842912B8BCA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             </Company>
  <Pages>1</Pages>
  <Words>449</Words>
  <Characters>2562</Characters>
  <Lines>21</Lines>
  <Paragraphs>6</Paragraphs>
  <TotalTime>0</TotalTime>
  <ScaleCrop>false</ScaleCrop>
  <LinksUpToDate>false</LinksUpToDate>
  <CharactersWithSpaces>3005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2014-11-04T06:17:00Z</dcterms:created>
  <dc:creator>NTKO</dc:creator>
  <cp:lastModifiedBy>Administrator</cp:lastModifiedBy>
  <dcterms:modified xsi:type="dcterms:W3CDTF">2021-12-29T03:31:56Z</dcterms:modified>
  <cp:revision>290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